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F7" w:rsidRPr="00506EA3" w:rsidRDefault="00CA1BF7" w:rsidP="00CA1BF7">
      <w:pPr>
        <w:pStyle w:val="Subtopic"/>
        <w:pBdr>
          <w:top w:val="single" w:sz="4" w:space="1" w:color="auto"/>
          <w:bottom w:val="single" w:sz="8" w:space="1" w:color="auto"/>
        </w:pBdr>
      </w:pPr>
      <w:bookmarkStart w:id="0" w:name="_GoBack"/>
      <w:bookmarkEnd w:id="0"/>
      <w:r>
        <w:t xml:space="preserve">foundation stage, </w:t>
      </w:r>
      <w:r w:rsidRPr="00591228">
        <w:t>KS1 and 2 Assessment Results</w:t>
      </w:r>
    </w:p>
    <w:p w:rsidR="00CA1BF7" w:rsidRDefault="00CA1BF7" w:rsidP="00CA1BF7">
      <w:pPr>
        <w:pStyle w:val="Sideheading"/>
        <w:jc w:val="center"/>
        <w:rPr>
          <w:sz w:val="20"/>
          <w:u w:val="single"/>
        </w:rPr>
      </w:pPr>
    </w:p>
    <w:p w:rsidR="00CA1BF7" w:rsidRDefault="00CA1BF7" w:rsidP="00CA1BF7">
      <w:pPr>
        <w:pStyle w:val="ListParagraph"/>
        <w:numPr>
          <w:ilvl w:val="0"/>
          <w:numId w:val="1"/>
        </w:numPr>
        <w:jc w:val="center"/>
      </w:pPr>
      <w:r>
        <w:t xml:space="preserve">Percentages in brackets are the national levels for 2016 released by the </w:t>
      </w:r>
      <w:proofErr w:type="spellStart"/>
      <w:r>
        <w:t>DfE</w:t>
      </w:r>
      <w:proofErr w:type="spellEnd"/>
      <w:r>
        <w:t xml:space="preserve"> and </w:t>
      </w:r>
      <w:proofErr w:type="spellStart"/>
      <w:r>
        <w:t>Dept</w:t>
      </w:r>
      <w:proofErr w:type="spellEnd"/>
      <w:r>
        <w:t xml:space="preserve"> for National Statistics</w:t>
      </w:r>
    </w:p>
    <w:p w:rsidR="00CA1BF7" w:rsidRDefault="00CA1BF7" w:rsidP="00CA1BF7">
      <w:pPr>
        <w:pStyle w:val="ListParagraph"/>
        <w:numPr>
          <w:ilvl w:val="0"/>
          <w:numId w:val="1"/>
        </w:numPr>
        <w:jc w:val="center"/>
      </w:pPr>
      <w:r>
        <w:t>Green background is where Langdon at least meets national levels</w:t>
      </w:r>
    </w:p>
    <w:p w:rsidR="00CA1BF7" w:rsidRDefault="00CA1BF7" w:rsidP="00CA1BF7">
      <w:pPr>
        <w:pStyle w:val="ListParagraph"/>
        <w:numPr>
          <w:ilvl w:val="0"/>
          <w:numId w:val="1"/>
        </w:numPr>
        <w:jc w:val="center"/>
      </w:pPr>
      <w:r>
        <w:t>Blue background is where Langdon exceeds national levels</w:t>
      </w:r>
    </w:p>
    <w:p w:rsidR="00CA1BF7" w:rsidRDefault="00CA1BF7" w:rsidP="00CA1BF7">
      <w:pPr>
        <w:pStyle w:val="ListParagraph"/>
        <w:numPr>
          <w:ilvl w:val="0"/>
          <w:numId w:val="1"/>
        </w:numPr>
        <w:jc w:val="center"/>
      </w:pPr>
      <w:r>
        <w:t>Care must be taken considering low class sizes</w:t>
      </w:r>
    </w:p>
    <w:p w:rsidR="008845D1" w:rsidRDefault="008845D1" w:rsidP="008845D1">
      <w:pPr>
        <w:pStyle w:val="Sideheading"/>
        <w:ind w:left="360"/>
        <w:jc w:val="center"/>
        <w:rPr>
          <w:b w:val="0"/>
          <w:i/>
          <w:sz w:val="24"/>
          <w:szCs w:val="24"/>
        </w:rPr>
      </w:pPr>
      <w:r>
        <w:rPr>
          <w:b w:val="0"/>
          <w:i/>
          <w:sz w:val="24"/>
          <w:szCs w:val="24"/>
        </w:rPr>
        <w:t>some learners will not attain this level due to a range of factors including additional needs, mobility between schools and emotional or social factors influencing their rate of learning.</w:t>
      </w:r>
    </w:p>
    <w:p w:rsidR="008845D1" w:rsidRPr="00CA1BF7" w:rsidRDefault="008845D1" w:rsidP="008845D1">
      <w:pPr>
        <w:jc w:val="center"/>
      </w:pPr>
    </w:p>
    <w:p w:rsidR="00CA1BF7" w:rsidRPr="00561AA8" w:rsidRDefault="00CA1BF7" w:rsidP="00CA1BF7">
      <w:pPr>
        <w:pStyle w:val="Sideheading"/>
        <w:jc w:val="center"/>
        <w:rPr>
          <w:sz w:val="36"/>
          <w:szCs w:val="36"/>
          <w:u w:val="single"/>
        </w:rPr>
      </w:pPr>
      <w:r>
        <w:rPr>
          <w:sz w:val="36"/>
          <w:szCs w:val="36"/>
          <w:u w:val="single"/>
        </w:rPr>
        <w:t>Foundation Stage</w:t>
      </w:r>
      <w:r w:rsidRPr="00561AA8">
        <w:rPr>
          <w:sz w:val="36"/>
          <w:szCs w:val="36"/>
          <w:u w:val="single"/>
        </w:rPr>
        <w:t xml:space="preserve"> National Summary Results</w:t>
      </w:r>
    </w:p>
    <w:p w:rsidR="002D7695" w:rsidRPr="002D7695" w:rsidRDefault="002D7695" w:rsidP="002D7695">
      <w:pPr>
        <w:pStyle w:val="Sideheading"/>
        <w:jc w:val="center"/>
        <w:rPr>
          <w:b w:val="0"/>
          <w:i/>
          <w:sz w:val="24"/>
          <w:szCs w:val="24"/>
        </w:rPr>
      </w:pPr>
    </w:p>
    <w:p w:rsidR="002D7695" w:rsidRDefault="002D7695" w:rsidP="008845D1">
      <w:pPr>
        <w:pStyle w:val="Sideheading"/>
        <w:jc w:val="center"/>
        <w:rPr>
          <w:b w:val="0"/>
          <w:i/>
          <w:sz w:val="24"/>
          <w:szCs w:val="24"/>
        </w:rPr>
      </w:pPr>
      <w:r>
        <w:rPr>
          <w:b w:val="0"/>
          <w:i/>
          <w:sz w:val="24"/>
          <w:szCs w:val="24"/>
        </w:rPr>
        <w:t>most learners are expected to attain a ‘good level of development’ by th</w:t>
      </w:r>
      <w:r w:rsidR="008845D1">
        <w:rPr>
          <w:b w:val="0"/>
          <w:i/>
          <w:sz w:val="24"/>
          <w:szCs w:val="24"/>
        </w:rPr>
        <w:t xml:space="preserve">e end of the foundation stage. </w:t>
      </w:r>
    </w:p>
    <w:p w:rsidR="008845D1" w:rsidRPr="00AD3946" w:rsidRDefault="008845D1" w:rsidP="008845D1">
      <w:pPr>
        <w:pStyle w:val="Sideheading"/>
        <w:jc w:val="center"/>
        <w:rPr>
          <w:b w:val="0"/>
          <w:sz w:val="24"/>
          <w:szCs w:val="24"/>
        </w:rPr>
      </w:pPr>
    </w:p>
    <w:tbl>
      <w:tblPr>
        <w:tblStyle w:val="TableGrid"/>
        <w:tblW w:w="0" w:type="auto"/>
        <w:jc w:val="center"/>
        <w:tblLook w:val="04A0" w:firstRow="1" w:lastRow="0" w:firstColumn="1" w:lastColumn="0" w:noHBand="0" w:noVBand="1"/>
      </w:tblPr>
      <w:tblGrid>
        <w:gridCol w:w="9242"/>
      </w:tblGrid>
      <w:tr w:rsidR="00DE4EAD" w:rsidRPr="00C85876" w:rsidTr="00CA1BF7">
        <w:trPr>
          <w:jc w:val="center"/>
        </w:trPr>
        <w:tc>
          <w:tcPr>
            <w:tcW w:w="9242" w:type="dxa"/>
            <w:shd w:val="clear" w:color="auto" w:fill="D9D9D9" w:themeFill="background1" w:themeFillShade="D9"/>
          </w:tcPr>
          <w:p w:rsidR="00DE4EAD" w:rsidRPr="00C85876" w:rsidRDefault="00DE4EAD" w:rsidP="00CA1BF7">
            <w:pPr>
              <w:jc w:val="center"/>
              <w:rPr>
                <w:b/>
              </w:rPr>
            </w:pPr>
            <w:r>
              <w:rPr>
                <w:b/>
              </w:rPr>
              <w:t xml:space="preserve">Year R </w:t>
            </w:r>
            <w:r w:rsidR="007933EC">
              <w:rPr>
                <w:b/>
              </w:rPr>
              <w:t>EARLY YEARS FOUNDATION STAGE</w:t>
            </w:r>
            <w:r>
              <w:rPr>
                <w:b/>
              </w:rPr>
              <w:t xml:space="preserve"> </w:t>
            </w:r>
            <w:r w:rsidR="007933EC">
              <w:rPr>
                <w:b/>
              </w:rPr>
              <w:t xml:space="preserve">PROFILE </w:t>
            </w:r>
            <w:r>
              <w:rPr>
                <w:b/>
              </w:rPr>
              <w:t xml:space="preserve"> </w:t>
            </w:r>
            <w:r w:rsidR="00000172">
              <w:rPr>
                <w:b/>
              </w:rPr>
              <w:t>2015/6</w:t>
            </w:r>
          </w:p>
        </w:tc>
      </w:tr>
    </w:tbl>
    <w:p w:rsidR="00DE4EAD" w:rsidRPr="007933EC" w:rsidRDefault="00DE4EAD" w:rsidP="00CA1BF7">
      <w:pPr>
        <w:contextualSpacing/>
        <w:jc w:val="center"/>
        <w:rPr>
          <w:b/>
          <w:sz w:val="24"/>
          <w:szCs w:val="24"/>
        </w:rPr>
      </w:pPr>
    </w:p>
    <w:tbl>
      <w:tblPr>
        <w:tblStyle w:val="TableGrid"/>
        <w:tblW w:w="0" w:type="auto"/>
        <w:jc w:val="center"/>
        <w:tblLook w:val="04A0" w:firstRow="1" w:lastRow="0" w:firstColumn="1" w:lastColumn="0" w:noHBand="0" w:noVBand="1"/>
      </w:tblPr>
      <w:tblGrid>
        <w:gridCol w:w="7905"/>
        <w:gridCol w:w="1275"/>
      </w:tblGrid>
      <w:tr w:rsidR="007933EC" w:rsidTr="00CA1BF7">
        <w:trPr>
          <w:jc w:val="center"/>
        </w:trPr>
        <w:tc>
          <w:tcPr>
            <w:tcW w:w="7905" w:type="dxa"/>
          </w:tcPr>
          <w:p w:rsidR="007933EC" w:rsidRDefault="00F54A93" w:rsidP="00CA1BF7">
            <w:pPr>
              <w:contextualSpacing/>
            </w:pPr>
            <w:r>
              <w:t>Good Level of Development %</w:t>
            </w:r>
          </w:p>
        </w:tc>
        <w:tc>
          <w:tcPr>
            <w:tcW w:w="1275" w:type="dxa"/>
            <w:shd w:val="clear" w:color="auto" w:fill="B8CCE4" w:themeFill="accent1" w:themeFillTint="66"/>
          </w:tcPr>
          <w:p w:rsidR="007933EC" w:rsidRDefault="00FB57FD" w:rsidP="00CA1BF7">
            <w:pPr>
              <w:contextualSpacing/>
              <w:jc w:val="center"/>
            </w:pPr>
            <w:r>
              <w:t>80 (69</w:t>
            </w:r>
            <w:r w:rsidR="00F54A93">
              <w:t>)</w:t>
            </w:r>
          </w:p>
        </w:tc>
      </w:tr>
    </w:tbl>
    <w:p w:rsidR="00FB57FD" w:rsidRDefault="00F54A93" w:rsidP="008845D1">
      <w:pPr>
        <w:contextualSpacing/>
        <w:rPr>
          <w:b/>
        </w:rPr>
      </w:pPr>
      <w:r>
        <w:rPr>
          <w:noProof/>
          <w:lang w:eastAsia="en-GB"/>
        </w:rPr>
        <mc:AlternateContent>
          <mc:Choice Requires="wps">
            <w:drawing>
              <wp:anchor distT="0" distB="0" distL="114300" distR="114300" simplePos="0" relativeHeight="251667456" behindDoc="0" locked="0" layoutInCell="1" allowOverlap="1" wp14:anchorId="3A207F82" wp14:editId="0BC87B11">
                <wp:simplePos x="0" y="0"/>
                <wp:positionH relativeFrom="column">
                  <wp:posOffset>200024</wp:posOffset>
                </wp:positionH>
                <wp:positionV relativeFrom="paragraph">
                  <wp:posOffset>185420</wp:posOffset>
                </wp:positionV>
                <wp:extent cx="6238875" cy="45719"/>
                <wp:effectExtent l="0" t="0" r="28575" b="12065"/>
                <wp:wrapNone/>
                <wp:docPr id="5" name="Rounded Rectangle 5"/>
                <wp:cNvGraphicFramePr/>
                <a:graphic xmlns:a="http://schemas.openxmlformats.org/drawingml/2006/main">
                  <a:graphicData uri="http://schemas.microsoft.com/office/word/2010/wordprocessingShape">
                    <wps:wsp>
                      <wps:cNvSpPr/>
                      <wps:spPr>
                        <a:xfrm>
                          <a:off x="0" y="0"/>
                          <a:ext cx="6238875"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15.75pt;margin-top:14.6pt;width:491.2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" fillcolor="#4f81bd [3204]" strokecolor="#243f60 [1604]" strokeweight="2pt"/>
            </w:pict>
          </mc:Fallback>
        </mc:AlternateContent>
      </w:r>
    </w:p>
    <w:p w:rsidR="002D7695" w:rsidRDefault="002D7695" w:rsidP="00767BAA">
      <w:pPr>
        <w:contextualSpacing/>
        <w:rPr>
          <w:b/>
        </w:rPr>
      </w:pPr>
    </w:p>
    <w:p w:rsidR="002D7695" w:rsidRPr="00561AA8" w:rsidRDefault="002D7695" w:rsidP="002D7695">
      <w:pPr>
        <w:pStyle w:val="Sideheading"/>
        <w:jc w:val="center"/>
        <w:rPr>
          <w:sz w:val="36"/>
          <w:szCs w:val="36"/>
          <w:u w:val="single"/>
        </w:rPr>
      </w:pPr>
      <w:r w:rsidRPr="00561AA8">
        <w:rPr>
          <w:sz w:val="36"/>
          <w:szCs w:val="36"/>
          <w:u w:val="single"/>
        </w:rPr>
        <w:t>Key Stage 1 National Summary Results</w:t>
      </w:r>
    </w:p>
    <w:p w:rsidR="002D7695" w:rsidRDefault="002D7695" w:rsidP="002D7695">
      <w:pPr>
        <w:pStyle w:val="Sideheading"/>
        <w:jc w:val="center"/>
        <w:rPr>
          <w:b w:val="0"/>
          <w:sz w:val="20"/>
        </w:rPr>
      </w:pPr>
    </w:p>
    <w:p w:rsidR="008845D1" w:rsidRDefault="008845D1" w:rsidP="002D7695">
      <w:pPr>
        <w:pStyle w:val="Sideheading"/>
        <w:jc w:val="center"/>
        <w:rPr>
          <w:b w:val="0"/>
          <w:sz w:val="20"/>
        </w:rPr>
      </w:pPr>
      <w:r>
        <w:rPr>
          <w:b w:val="0"/>
          <w:i/>
          <w:sz w:val="24"/>
          <w:szCs w:val="24"/>
        </w:rPr>
        <w:t>Most learners meet the pass threshold of 32/40 marks in this assessment of phonic understanding.</w:t>
      </w:r>
    </w:p>
    <w:p w:rsidR="008845D1" w:rsidRDefault="008845D1" w:rsidP="002D7695">
      <w:pPr>
        <w:pStyle w:val="Sideheading"/>
        <w:jc w:val="center"/>
        <w:rPr>
          <w:b w:val="0"/>
          <w:sz w:val="20"/>
        </w:rPr>
      </w:pPr>
    </w:p>
    <w:tbl>
      <w:tblPr>
        <w:tblStyle w:val="TableGrid"/>
        <w:tblW w:w="0" w:type="auto"/>
        <w:jc w:val="center"/>
        <w:tblLook w:val="04A0" w:firstRow="1" w:lastRow="0" w:firstColumn="1" w:lastColumn="0" w:noHBand="0" w:noVBand="1"/>
      </w:tblPr>
      <w:tblGrid>
        <w:gridCol w:w="9242"/>
      </w:tblGrid>
      <w:tr w:rsidR="008845D1" w:rsidRPr="00C85876" w:rsidTr="001254FA">
        <w:trPr>
          <w:jc w:val="center"/>
        </w:trPr>
        <w:tc>
          <w:tcPr>
            <w:tcW w:w="9242" w:type="dxa"/>
            <w:shd w:val="clear" w:color="auto" w:fill="D9D9D9" w:themeFill="background1" w:themeFillShade="D9"/>
          </w:tcPr>
          <w:p w:rsidR="008845D1" w:rsidRPr="00C85876" w:rsidRDefault="008845D1" w:rsidP="001254FA">
            <w:pPr>
              <w:rPr>
                <w:b/>
              </w:rPr>
            </w:pPr>
            <w:r>
              <w:rPr>
                <w:b/>
              </w:rPr>
              <w:t xml:space="preserve">Year 1 PHONICS CHECK  2015/6 </w:t>
            </w:r>
          </w:p>
        </w:tc>
      </w:tr>
    </w:tbl>
    <w:p w:rsidR="008845D1" w:rsidRDefault="008845D1" w:rsidP="008845D1">
      <w:pPr>
        <w:pStyle w:val="Sideheading"/>
        <w:rPr>
          <w:b w:val="0"/>
          <w:sz w:val="20"/>
        </w:rPr>
      </w:pPr>
    </w:p>
    <w:tbl>
      <w:tblPr>
        <w:tblStyle w:val="TableGrid"/>
        <w:tblW w:w="0" w:type="auto"/>
        <w:jc w:val="center"/>
        <w:tblLook w:val="04A0" w:firstRow="1" w:lastRow="0" w:firstColumn="1" w:lastColumn="0" w:noHBand="0" w:noVBand="1"/>
      </w:tblPr>
      <w:tblGrid>
        <w:gridCol w:w="7905"/>
        <w:gridCol w:w="1275"/>
      </w:tblGrid>
      <w:tr w:rsidR="002D7695" w:rsidTr="001254FA">
        <w:trPr>
          <w:jc w:val="center"/>
        </w:trPr>
        <w:tc>
          <w:tcPr>
            <w:tcW w:w="7905" w:type="dxa"/>
          </w:tcPr>
          <w:p w:rsidR="002D7695" w:rsidRPr="00D01D59" w:rsidRDefault="002D7695" w:rsidP="001254FA">
            <w:pPr>
              <w:contextualSpacing/>
            </w:pPr>
            <w:r w:rsidRPr="00D01D59">
              <w:t xml:space="preserve">Year 1 meeting pass threshold </w:t>
            </w:r>
          </w:p>
        </w:tc>
        <w:tc>
          <w:tcPr>
            <w:tcW w:w="1275" w:type="dxa"/>
            <w:tcBorders>
              <w:bottom w:val="single" w:sz="4" w:space="0" w:color="auto"/>
            </w:tcBorders>
            <w:shd w:val="clear" w:color="auto" w:fill="D6E3BC" w:themeFill="accent3" w:themeFillTint="66"/>
          </w:tcPr>
          <w:p w:rsidR="002D7695" w:rsidRDefault="002D7695" w:rsidP="001254FA">
            <w:pPr>
              <w:contextualSpacing/>
            </w:pPr>
            <w:r>
              <w:t>79 (81)</w:t>
            </w:r>
          </w:p>
        </w:tc>
      </w:tr>
      <w:tr w:rsidR="002D7695" w:rsidTr="001254FA">
        <w:trPr>
          <w:jc w:val="center"/>
        </w:trPr>
        <w:tc>
          <w:tcPr>
            <w:tcW w:w="7905" w:type="dxa"/>
          </w:tcPr>
          <w:p w:rsidR="002D7695" w:rsidRPr="00D01D59" w:rsidRDefault="002D7695" w:rsidP="001254FA">
            <w:pPr>
              <w:contextualSpacing/>
            </w:pPr>
            <w:r w:rsidRPr="00D01D59">
              <w:t>Year 2 retakes meeting pass threshold</w:t>
            </w:r>
          </w:p>
        </w:tc>
        <w:tc>
          <w:tcPr>
            <w:tcW w:w="1275" w:type="dxa"/>
            <w:shd w:val="clear" w:color="auto" w:fill="B8CCE4" w:themeFill="accent1" w:themeFillTint="66"/>
          </w:tcPr>
          <w:p w:rsidR="002D7695" w:rsidRDefault="002D7695" w:rsidP="001254FA">
            <w:pPr>
              <w:contextualSpacing/>
            </w:pPr>
            <w:r>
              <w:t>100 (66)</w:t>
            </w:r>
          </w:p>
        </w:tc>
      </w:tr>
    </w:tbl>
    <w:p w:rsidR="002D7695" w:rsidRDefault="002D7695" w:rsidP="002D7695">
      <w:pPr>
        <w:pStyle w:val="Sideheading"/>
        <w:jc w:val="center"/>
        <w:rPr>
          <w:b w:val="0"/>
          <w:sz w:val="20"/>
        </w:rPr>
      </w:pPr>
    </w:p>
    <w:p w:rsidR="002D7695" w:rsidRPr="003C1FF7" w:rsidRDefault="002D7695" w:rsidP="002D7695">
      <w:pPr>
        <w:pStyle w:val="Sideheading"/>
        <w:jc w:val="center"/>
        <w:rPr>
          <w:b w:val="0"/>
          <w:sz w:val="20"/>
        </w:rPr>
      </w:pPr>
    </w:p>
    <w:p w:rsidR="002D7695" w:rsidRDefault="002D7695" w:rsidP="002D7695">
      <w:pPr>
        <w:pStyle w:val="Sideheading"/>
        <w:jc w:val="center"/>
        <w:rPr>
          <w:b w:val="0"/>
          <w:i/>
          <w:sz w:val="24"/>
          <w:szCs w:val="24"/>
        </w:rPr>
      </w:pPr>
      <w:r>
        <w:rPr>
          <w:b w:val="0"/>
          <w:i/>
          <w:sz w:val="24"/>
          <w:szCs w:val="24"/>
        </w:rPr>
        <w:t xml:space="preserve">Most learners attain the national expectation by the end of Key Stage One.  </w:t>
      </w:r>
    </w:p>
    <w:p w:rsidR="00DE4EAD" w:rsidRDefault="00DE4EAD" w:rsidP="00767BAA">
      <w:pPr>
        <w:contextualSpacing/>
        <w:rPr>
          <w:b/>
        </w:rPr>
      </w:pPr>
    </w:p>
    <w:tbl>
      <w:tblPr>
        <w:tblStyle w:val="TableGrid"/>
        <w:tblW w:w="0" w:type="auto"/>
        <w:jc w:val="center"/>
        <w:tblLook w:val="04A0" w:firstRow="1" w:lastRow="0" w:firstColumn="1" w:lastColumn="0" w:noHBand="0" w:noVBand="1"/>
      </w:tblPr>
      <w:tblGrid>
        <w:gridCol w:w="9242"/>
      </w:tblGrid>
      <w:tr w:rsidR="00767BAA" w:rsidRPr="00C85876" w:rsidTr="002D7695">
        <w:trPr>
          <w:jc w:val="center"/>
        </w:trPr>
        <w:tc>
          <w:tcPr>
            <w:tcW w:w="9242" w:type="dxa"/>
            <w:shd w:val="clear" w:color="auto" w:fill="D9D9D9" w:themeFill="background1" w:themeFillShade="D9"/>
          </w:tcPr>
          <w:p w:rsidR="00767BAA" w:rsidRPr="00C85876" w:rsidRDefault="00767BAA" w:rsidP="00943352">
            <w:pPr>
              <w:rPr>
                <w:b/>
              </w:rPr>
            </w:pPr>
            <w:r>
              <w:rPr>
                <w:b/>
              </w:rPr>
              <w:t xml:space="preserve">End of Key </w:t>
            </w:r>
            <w:r w:rsidR="00943352">
              <w:rPr>
                <w:b/>
              </w:rPr>
              <w:t xml:space="preserve">Stage </w:t>
            </w:r>
            <w:r w:rsidR="008845D1">
              <w:rPr>
                <w:b/>
              </w:rPr>
              <w:t xml:space="preserve">1 </w:t>
            </w:r>
            <w:r w:rsidR="00943352">
              <w:rPr>
                <w:b/>
              </w:rPr>
              <w:t>SATS 2015/6</w:t>
            </w:r>
          </w:p>
        </w:tc>
      </w:tr>
    </w:tbl>
    <w:p w:rsidR="00767BAA" w:rsidRPr="005910E3" w:rsidRDefault="00767BAA" w:rsidP="00767BAA">
      <w:pPr>
        <w:contextualSpacing/>
        <w:rPr>
          <w:b/>
        </w:rPr>
      </w:pPr>
    </w:p>
    <w:tbl>
      <w:tblPr>
        <w:tblStyle w:val="TableGrid"/>
        <w:tblW w:w="0" w:type="auto"/>
        <w:jc w:val="center"/>
        <w:tblLook w:val="04A0" w:firstRow="1" w:lastRow="0" w:firstColumn="1" w:lastColumn="0" w:noHBand="0" w:noVBand="1"/>
      </w:tblPr>
      <w:tblGrid>
        <w:gridCol w:w="4843"/>
        <w:gridCol w:w="1125"/>
        <w:gridCol w:w="1124"/>
        <w:gridCol w:w="1054"/>
        <w:gridCol w:w="1054"/>
        <w:gridCol w:w="1054"/>
      </w:tblGrid>
      <w:tr w:rsidR="00794FAE" w:rsidTr="002D7695">
        <w:trPr>
          <w:trHeight w:val="262"/>
          <w:jc w:val="center"/>
        </w:trPr>
        <w:tc>
          <w:tcPr>
            <w:tcW w:w="4843" w:type="dxa"/>
          </w:tcPr>
          <w:p w:rsidR="00794FAE" w:rsidRDefault="00794FAE" w:rsidP="006D02C1"/>
        </w:tc>
        <w:tc>
          <w:tcPr>
            <w:tcW w:w="1125" w:type="dxa"/>
            <w:tcBorders>
              <w:bottom w:val="single" w:sz="4" w:space="0" w:color="auto"/>
            </w:tcBorders>
            <w:shd w:val="clear" w:color="auto" w:fill="auto"/>
          </w:tcPr>
          <w:p w:rsidR="00794FAE" w:rsidRPr="00FD4F35" w:rsidRDefault="00794FAE" w:rsidP="006D02C1">
            <w:pPr>
              <w:rPr>
                <w:b/>
              </w:rPr>
            </w:pPr>
            <w:r w:rsidRPr="00FD4F35">
              <w:rPr>
                <w:b/>
              </w:rPr>
              <w:t>Reading</w:t>
            </w:r>
          </w:p>
        </w:tc>
        <w:tc>
          <w:tcPr>
            <w:tcW w:w="1124" w:type="dxa"/>
            <w:tcBorders>
              <w:bottom w:val="single" w:sz="4" w:space="0" w:color="auto"/>
            </w:tcBorders>
            <w:shd w:val="clear" w:color="auto" w:fill="auto"/>
          </w:tcPr>
          <w:p w:rsidR="00794FAE" w:rsidRPr="00FD4F35" w:rsidRDefault="00794FAE" w:rsidP="006D02C1">
            <w:pPr>
              <w:rPr>
                <w:b/>
              </w:rPr>
            </w:pPr>
            <w:r w:rsidRPr="00FD4F35">
              <w:rPr>
                <w:b/>
              </w:rPr>
              <w:t>Writing</w:t>
            </w:r>
          </w:p>
        </w:tc>
        <w:tc>
          <w:tcPr>
            <w:tcW w:w="1054" w:type="dxa"/>
            <w:tcBorders>
              <w:bottom w:val="single" w:sz="4" w:space="0" w:color="auto"/>
            </w:tcBorders>
            <w:shd w:val="clear" w:color="auto" w:fill="auto"/>
          </w:tcPr>
          <w:p w:rsidR="00794FAE" w:rsidRPr="00FD4F35" w:rsidRDefault="00794FAE" w:rsidP="006D02C1">
            <w:pPr>
              <w:rPr>
                <w:b/>
              </w:rPr>
            </w:pPr>
            <w:r w:rsidRPr="00FD4F35">
              <w:rPr>
                <w:b/>
              </w:rPr>
              <w:t>Maths</w:t>
            </w:r>
          </w:p>
        </w:tc>
        <w:tc>
          <w:tcPr>
            <w:tcW w:w="1054" w:type="dxa"/>
            <w:tcBorders>
              <w:bottom w:val="single" w:sz="4" w:space="0" w:color="auto"/>
            </w:tcBorders>
          </w:tcPr>
          <w:p w:rsidR="00794FAE" w:rsidRPr="00FD4F35" w:rsidRDefault="00794FAE" w:rsidP="006D02C1">
            <w:pPr>
              <w:rPr>
                <w:b/>
              </w:rPr>
            </w:pPr>
            <w:r>
              <w:rPr>
                <w:b/>
              </w:rPr>
              <w:t>R W Ma</w:t>
            </w:r>
          </w:p>
        </w:tc>
        <w:tc>
          <w:tcPr>
            <w:tcW w:w="1054" w:type="dxa"/>
            <w:tcBorders>
              <w:bottom w:val="single" w:sz="4" w:space="0" w:color="auto"/>
            </w:tcBorders>
          </w:tcPr>
          <w:p w:rsidR="00794FAE" w:rsidRDefault="002D7695" w:rsidP="006D02C1">
            <w:pPr>
              <w:rPr>
                <w:b/>
              </w:rPr>
            </w:pPr>
            <w:r>
              <w:rPr>
                <w:b/>
              </w:rPr>
              <w:t>GPS</w:t>
            </w:r>
          </w:p>
        </w:tc>
      </w:tr>
      <w:tr w:rsidR="00794FAE" w:rsidTr="002D7695">
        <w:trPr>
          <w:trHeight w:val="248"/>
          <w:jc w:val="center"/>
        </w:trPr>
        <w:tc>
          <w:tcPr>
            <w:tcW w:w="4843" w:type="dxa"/>
          </w:tcPr>
          <w:p w:rsidR="00794FAE" w:rsidRDefault="00794FAE" w:rsidP="006D02C1">
            <w:r>
              <w:t>Working at Expected Standard</w:t>
            </w:r>
          </w:p>
        </w:tc>
        <w:tc>
          <w:tcPr>
            <w:tcW w:w="1125" w:type="dxa"/>
            <w:tcBorders>
              <w:bottom w:val="single" w:sz="4" w:space="0" w:color="auto"/>
            </w:tcBorders>
            <w:shd w:val="clear" w:color="auto" w:fill="B8CCE4" w:themeFill="accent1" w:themeFillTint="66"/>
          </w:tcPr>
          <w:p w:rsidR="00794FAE" w:rsidRDefault="00794FAE" w:rsidP="006D02C1">
            <w:r>
              <w:t>83 (74)</w:t>
            </w:r>
          </w:p>
        </w:tc>
        <w:tc>
          <w:tcPr>
            <w:tcW w:w="1124" w:type="dxa"/>
            <w:tcBorders>
              <w:bottom w:val="single" w:sz="4" w:space="0" w:color="auto"/>
            </w:tcBorders>
            <w:shd w:val="clear" w:color="auto" w:fill="B8CCE4" w:themeFill="accent1" w:themeFillTint="66"/>
          </w:tcPr>
          <w:p w:rsidR="00794FAE" w:rsidRDefault="00794FAE" w:rsidP="006D02C1">
            <w:r>
              <w:t>83 (66)</w:t>
            </w:r>
          </w:p>
        </w:tc>
        <w:tc>
          <w:tcPr>
            <w:tcW w:w="1054" w:type="dxa"/>
            <w:tcBorders>
              <w:bottom w:val="single" w:sz="4" w:space="0" w:color="auto"/>
            </w:tcBorders>
            <w:shd w:val="clear" w:color="auto" w:fill="B8CCE4" w:themeFill="accent1" w:themeFillTint="66"/>
          </w:tcPr>
          <w:p w:rsidR="00794FAE" w:rsidRDefault="00794FAE" w:rsidP="006D02C1">
            <w:r>
              <w:t>83 (73)</w:t>
            </w:r>
          </w:p>
        </w:tc>
        <w:tc>
          <w:tcPr>
            <w:tcW w:w="1054" w:type="dxa"/>
            <w:tcBorders>
              <w:bottom w:val="single" w:sz="4" w:space="0" w:color="auto"/>
            </w:tcBorders>
            <w:shd w:val="clear" w:color="auto" w:fill="B8CCE4" w:themeFill="accent1" w:themeFillTint="66"/>
          </w:tcPr>
          <w:p w:rsidR="00794FAE" w:rsidRDefault="00794FAE" w:rsidP="006D02C1">
            <w:r>
              <w:t>75 (60)</w:t>
            </w:r>
          </w:p>
        </w:tc>
        <w:tc>
          <w:tcPr>
            <w:tcW w:w="1054" w:type="dxa"/>
            <w:tcBorders>
              <w:bottom w:val="single" w:sz="4" w:space="0" w:color="auto"/>
            </w:tcBorders>
            <w:shd w:val="clear" w:color="auto" w:fill="auto"/>
          </w:tcPr>
          <w:p w:rsidR="00794FAE" w:rsidRDefault="00D51360" w:rsidP="006D02C1">
            <w:r>
              <w:t>83</w:t>
            </w:r>
            <w:r w:rsidR="008845D1">
              <w:t>*</w:t>
            </w:r>
          </w:p>
        </w:tc>
      </w:tr>
      <w:tr w:rsidR="00794FAE" w:rsidTr="002D7695">
        <w:trPr>
          <w:trHeight w:val="262"/>
          <w:jc w:val="center"/>
        </w:trPr>
        <w:tc>
          <w:tcPr>
            <w:tcW w:w="4843" w:type="dxa"/>
          </w:tcPr>
          <w:p w:rsidR="00794FAE" w:rsidRDefault="00794FAE" w:rsidP="006D02C1">
            <w:r>
              <w:t>Working at Greater Depth at the Expected Standard</w:t>
            </w:r>
          </w:p>
        </w:tc>
        <w:tc>
          <w:tcPr>
            <w:tcW w:w="1125" w:type="dxa"/>
            <w:tcBorders>
              <w:right w:val="single" w:sz="4" w:space="0" w:color="auto"/>
            </w:tcBorders>
            <w:shd w:val="clear" w:color="auto" w:fill="B8CCE4" w:themeFill="accent1" w:themeFillTint="66"/>
          </w:tcPr>
          <w:p w:rsidR="00794FAE" w:rsidRDefault="00794FAE" w:rsidP="006D02C1">
            <w:r>
              <w:t>42 (24</w:t>
            </w:r>
            <w:r w:rsidRPr="008F0402">
              <w:t>)</w:t>
            </w:r>
          </w:p>
        </w:tc>
        <w:tc>
          <w:tcPr>
            <w:tcW w:w="1124" w:type="dxa"/>
            <w:tcBorders>
              <w:left w:val="single" w:sz="4" w:space="0" w:color="auto"/>
            </w:tcBorders>
            <w:shd w:val="clear" w:color="auto" w:fill="B8CCE4" w:themeFill="accent1" w:themeFillTint="66"/>
          </w:tcPr>
          <w:p w:rsidR="00794FAE" w:rsidRDefault="00794FAE" w:rsidP="006D02C1">
            <w:r>
              <w:t>42 (13</w:t>
            </w:r>
            <w:r w:rsidRPr="008F0402">
              <w:t>)</w:t>
            </w:r>
          </w:p>
        </w:tc>
        <w:tc>
          <w:tcPr>
            <w:tcW w:w="1054" w:type="dxa"/>
            <w:shd w:val="clear" w:color="auto" w:fill="B8CCE4" w:themeFill="accent1" w:themeFillTint="66"/>
          </w:tcPr>
          <w:p w:rsidR="00794FAE" w:rsidRDefault="00794FAE" w:rsidP="006D02C1">
            <w:r>
              <w:t>42 (18)</w:t>
            </w:r>
          </w:p>
        </w:tc>
        <w:tc>
          <w:tcPr>
            <w:tcW w:w="1054" w:type="dxa"/>
            <w:shd w:val="clear" w:color="auto" w:fill="B8CCE4" w:themeFill="accent1" w:themeFillTint="66"/>
          </w:tcPr>
          <w:p w:rsidR="00794FAE" w:rsidRDefault="00794FAE" w:rsidP="006D02C1">
            <w:r>
              <w:t>33 (9)</w:t>
            </w:r>
          </w:p>
        </w:tc>
        <w:tc>
          <w:tcPr>
            <w:tcW w:w="1054" w:type="dxa"/>
            <w:shd w:val="clear" w:color="auto" w:fill="auto"/>
          </w:tcPr>
          <w:p w:rsidR="00794FAE" w:rsidRDefault="00794FAE" w:rsidP="006D02C1"/>
        </w:tc>
      </w:tr>
    </w:tbl>
    <w:p w:rsidR="002D7695" w:rsidRDefault="008845D1" w:rsidP="002D7695">
      <w:pPr>
        <w:spacing w:after="0" w:line="240" w:lineRule="auto"/>
        <w:contextualSpacing/>
      </w:pPr>
      <w:r>
        <w:t>*</w:t>
      </w:r>
      <w:r w:rsidR="002D7695">
        <w:t xml:space="preserve">  GPS assessments were withdrawn by the Department for Education this year.  Figures reported are based on </w:t>
      </w:r>
    </w:p>
    <w:p w:rsidR="009841CD" w:rsidRDefault="00D51360" w:rsidP="00D51360">
      <w:pPr>
        <w:spacing w:after="0" w:line="240" w:lineRule="auto"/>
        <w:contextualSpacing/>
      </w:pPr>
      <w:r>
        <w:t xml:space="preserve">    </w:t>
      </w:r>
      <w:r w:rsidR="002D7695">
        <w:t>teacher assessment.</w:t>
      </w:r>
    </w:p>
    <w:p w:rsidR="008845D1" w:rsidRDefault="00D51360" w:rsidP="008845D1">
      <w:pPr>
        <w:pStyle w:val="Sideheading"/>
        <w:jc w:val="center"/>
        <w:rPr>
          <w:sz w:val="36"/>
          <w:szCs w:val="36"/>
          <w:u w:val="single"/>
        </w:rPr>
      </w:pPr>
      <w:r>
        <w:rPr>
          <w:noProof/>
          <w:lang w:eastAsia="en-GB"/>
        </w:rPr>
        <mc:AlternateContent>
          <mc:Choice Requires="wps">
            <w:drawing>
              <wp:anchor distT="0" distB="0" distL="114300" distR="114300" simplePos="0" relativeHeight="251669504" behindDoc="0" locked="0" layoutInCell="1" allowOverlap="1" wp14:anchorId="2525F0AD" wp14:editId="3B8EEAD9">
                <wp:simplePos x="0" y="0"/>
                <wp:positionH relativeFrom="column">
                  <wp:posOffset>199390</wp:posOffset>
                </wp:positionH>
                <wp:positionV relativeFrom="paragraph">
                  <wp:posOffset>136525</wp:posOffset>
                </wp:positionV>
                <wp:extent cx="6238875" cy="45719"/>
                <wp:effectExtent l="0" t="0" r="28575" b="12065"/>
                <wp:wrapNone/>
                <wp:docPr id="1" name="Rounded Rectangle 1"/>
                <wp:cNvGraphicFramePr/>
                <a:graphic xmlns:a="http://schemas.openxmlformats.org/drawingml/2006/main">
                  <a:graphicData uri="http://schemas.microsoft.com/office/word/2010/wordprocessingShape">
                    <wps:wsp>
                      <wps:cNvSpPr/>
                      <wps:spPr>
                        <a:xfrm>
                          <a:off x="0" y="0"/>
                          <a:ext cx="6238875"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15.7pt;margin-top:10.75pt;width:491.2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" fillcolor="#4f81bd [3204]" strokecolor="#243f60 [1604]" strokeweight="2pt"/>
            </w:pict>
          </mc:Fallback>
        </mc:AlternateContent>
      </w:r>
    </w:p>
    <w:p w:rsidR="004F753B" w:rsidRPr="004F753B" w:rsidRDefault="004F753B" w:rsidP="008845D1">
      <w:pPr>
        <w:pStyle w:val="Sideheading"/>
        <w:jc w:val="center"/>
        <w:rPr>
          <w:sz w:val="20"/>
          <w:u w:val="single"/>
        </w:rPr>
      </w:pPr>
    </w:p>
    <w:p w:rsidR="008845D1" w:rsidRPr="00561AA8" w:rsidRDefault="008845D1" w:rsidP="008845D1">
      <w:pPr>
        <w:pStyle w:val="Sideheading"/>
        <w:jc w:val="center"/>
        <w:rPr>
          <w:sz w:val="36"/>
          <w:szCs w:val="36"/>
          <w:u w:val="single"/>
        </w:rPr>
      </w:pPr>
      <w:r>
        <w:rPr>
          <w:sz w:val="36"/>
          <w:szCs w:val="36"/>
          <w:u w:val="single"/>
        </w:rPr>
        <w:t>K</w:t>
      </w:r>
      <w:r w:rsidRPr="00561AA8">
        <w:rPr>
          <w:sz w:val="36"/>
          <w:szCs w:val="36"/>
          <w:u w:val="single"/>
        </w:rPr>
        <w:t>ey Stage 2 National Summary Results</w:t>
      </w:r>
    </w:p>
    <w:p w:rsidR="008845D1" w:rsidRPr="003C1FF7" w:rsidRDefault="008845D1" w:rsidP="008845D1">
      <w:pPr>
        <w:pStyle w:val="Sideheading"/>
        <w:jc w:val="center"/>
        <w:rPr>
          <w:b w:val="0"/>
          <w:sz w:val="20"/>
        </w:rPr>
      </w:pPr>
    </w:p>
    <w:p w:rsidR="008845D1" w:rsidRDefault="008845D1" w:rsidP="008845D1">
      <w:pPr>
        <w:pStyle w:val="Sideheading"/>
        <w:jc w:val="center"/>
        <w:rPr>
          <w:b w:val="0"/>
          <w:i/>
          <w:sz w:val="24"/>
          <w:szCs w:val="24"/>
        </w:rPr>
      </w:pPr>
      <w:r>
        <w:rPr>
          <w:b w:val="0"/>
          <w:i/>
          <w:sz w:val="24"/>
          <w:szCs w:val="24"/>
        </w:rPr>
        <w:t xml:space="preserve">Most learners attain the national expectation by the end of Key Stage Two. </w:t>
      </w:r>
    </w:p>
    <w:p w:rsidR="008845D1" w:rsidRPr="004F753B" w:rsidRDefault="008845D1" w:rsidP="008845D1">
      <w:pPr>
        <w:pStyle w:val="Sideheading"/>
        <w:jc w:val="center"/>
        <w:rPr>
          <w:b w:val="0"/>
          <w:i/>
          <w:sz w:val="16"/>
          <w:szCs w:val="16"/>
        </w:rPr>
      </w:pPr>
    </w:p>
    <w:tbl>
      <w:tblPr>
        <w:tblStyle w:val="TableGrid"/>
        <w:tblW w:w="0" w:type="auto"/>
        <w:jc w:val="center"/>
        <w:tblLook w:val="04A0" w:firstRow="1" w:lastRow="0" w:firstColumn="1" w:lastColumn="0" w:noHBand="0" w:noVBand="1"/>
      </w:tblPr>
      <w:tblGrid>
        <w:gridCol w:w="9242"/>
      </w:tblGrid>
      <w:tr w:rsidR="008845D1" w:rsidRPr="00C85876" w:rsidTr="001254FA">
        <w:trPr>
          <w:jc w:val="center"/>
        </w:trPr>
        <w:tc>
          <w:tcPr>
            <w:tcW w:w="9242" w:type="dxa"/>
            <w:shd w:val="clear" w:color="auto" w:fill="D9D9D9" w:themeFill="background1" w:themeFillShade="D9"/>
          </w:tcPr>
          <w:p w:rsidR="008845D1" w:rsidRPr="00C85876" w:rsidRDefault="008845D1" w:rsidP="001254FA">
            <w:pPr>
              <w:rPr>
                <w:b/>
              </w:rPr>
            </w:pPr>
            <w:r>
              <w:rPr>
                <w:b/>
              </w:rPr>
              <w:t>End of Key Stage 2 SATS 2015/6</w:t>
            </w:r>
            <w:r w:rsidR="00D51360">
              <w:rPr>
                <w:b/>
              </w:rPr>
              <w:t xml:space="preserve"> - Attainment</w:t>
            </w:r>
          </w:p>
        </w:tc>
      </w:tr>
    </w:tbl>
    <w:p w:rsidR="008845D1" w:rsidRPr="004F753B" w:rsidRDefault="008845D1" w:rsidP="006E1460">
      <w:pPr>
        <w:contextualSpacing/>
        <w:rPr>
          <w:b/>
          <w:sz w:val="16"/>
          <w:szCs w:val="16"/>
        </w:rPr>
      </w:pPr>
    </w:p>
    <w:tbl>
      <w:tblPr>
        <w:tblStyle w:val="TableGrid"/>
        <w:tblW w:w="0" w:type="auto"/>
        <w:jc w:val="center"/>
        <w:tblLook w:val="04A0" w:firstRow="1" w:lastRow="0" w:firstColumn="1" w:lastColumn="0" w:noHBand="0" w:noVBand="1"/>
      </w:tblPr>
      <w:tblGrid>
        <w:gridCol w:w="3290"/>
        <w:gridCol w:w="1394"/>
        <w:gridCol w:w="1394"/>
        <w:gridCol w:w="1395"/>
        <w:gridCol w:w="1394"/>
        <w:gridCol w:w="1395"/>
      </w:tblGrid>
      <w:tr w:rsidR="00767BAA" w:rsidRPr="00FD4F35" w:rsidTr="008845D1">
        <w:trPr>
          <w:trHeight w:val="264"/>
          <w:jc w:val="center"/>
        </w:trPr>
        <w:tc>
          <w:tcPr>
            <w:tcW w:w="3290" w:type="dxa"/>
          </w:tcPr>
          <w:p w:rsidR="00767BAA" w:rsidRPr="00FD4F35" w:rsidRDefault="00767BAA" w:rsidP="006D02C1">
            <w:pPr>
              <w:rPr>
                <w:i/>
              </w:rPr>
            </w:pPr>
          </w:p>
        </w:tc>
        <w:tc>
          <w:tcPr>
            <w:tcW w:w="1394" w:type="dxa"/>
            <w:tcBorders>
              <w:bottom w:val="single" w:sz="4" w:space="0" w:color="auto"/>
            </w:tcBorders>
            <w:shd w:val="clear" w:color="auto" w:fill="auto"/>
          </w:tcPr>
          <w:p w:rsidR="00767BAA" w:rsidRPr="00FD4F35" w:rsidRDefault="00767BAA" w:rsidP="006D02C1">
            <w:pPr>
              <w:rPr>
                <w:b/>
              </w:rPr>
            </w:pPr>
            <w:r w:rsidRPr="00FD4F35">
              <w:rPr>
                <w:b/>
              </w:rPr>
              <w:t xml:space="preserve">Reading </w:t>
            </w:r>
          </w:p>
        </w:tc>
        <w:tc>
          <w:tcPr>
            <w:tcW w:w="1394" w:type="dxa"/>
            <w:tcBorders>
              <w:bottom w:val="single" w:sz="4" w:space="0" w:color="auto"/>
            </w:tcBorders>
            <w:shd w:val="clear" w:color="auto" w:fill="auto"/>
          </w:tcPr>
          <w:p w:rsidR="00767BAA" w:rsidRPr="00FD4F35" w:rsidRDefault="00767BAA" w:rsidP="006D02C1">
            <w:pPr>
              <w:rPr>
                <w:b/>
              </w:rPr>
            </w:pPr>
            <w:r w:rsidRPr="00FD4F35">
              <w:rPr>
                <w:b/>
              </w:rPr>
              <w:t>Writing</w:t>
            </w:r>
          </w:p>
        </w:tc>
        <w:tc>
          <w:tcPr>
            <w:tcW w:w="1395" w:type="dxa"/>
            <w:tcBorders>
              <w:bottom w:val="single" w:sz="4" w:space="0" w:color="auto"/>
            </w:tcBorders>
            <w:shd w:val="clear" w:color="auto" w:fill="auto"/>
          </w:tcPr>
          <w:p w:rsidR="00767BAA" w:rsidRPr="00FD4F35" w:rsidRDefault="00767BAA" w:rsidP="006D02C1">
            <w:pPr>
              <w:rPr>
                <w:b/>
              </w:rPr>
            </w:pPr>
            <w:r w:rsidRPr="00FD4F35">
              <w:rPr>
                <w:b/>
              </w:rPr>
              <w:t>Maths</w:t>
            </w:r>
          </w:p>
        </w:tc>
        <w:tc>
          <w:tcPr>
            <w:tcW w:w="1394" w:type="dxa"/>
            <w:tcBorders>
              <w:bottom w:val="single" w:sz="4" w:space="0" w:color="auto"/>
            </w:tcBorders>
          </w:tcPr>
          <w:p w:rsidR="00767BAA" w:rsidRPr="00FD4F35" w:rsidRDefault="00767BAA" w:rsidP="006D02C1">
            <w:pPr>
              <w:rPr>
                <w:b/>
              </w:rPr>
            </w:pPr>
            <w:r w:rsidRPr="00FD4F35">
              <w:rPr>
                <w:b/>
              </w:rPr>
              <w:t>R W Ma</w:t>
            </w:r>
          </w:p>
        </w:tc>
        <w:tc>
          <w:tcPr>
            <w:tcW w:w="1395" w:type="dxa"/>
            <w:tcBorders>
              <w:bottom w:val="single" w:sz="4" w:space="0" w:color="auto"/>
            </w:tcBorders>
          </w:tcPr>
          <w:p w:rsidR="00767BAA" w:rsidRPr="00FD4F35" w:rsidRDefault="00767BAA" w:rsidP="006D02C1">
            <w:pPr>
              <w:rPr>
                <w:b/>
              </w:rPr>
            </w:pPr>
            <w:r w:rsidRPr="00FD4F35">
              <w:rPr>
                <w:b/>
              </w:rPr>
              <w:t>SPAG</w:t>
            </w:r>
          </w:p>
        </w:tc>
      </w:tr>
      <w:tr w:rsidR="009841CD" w:rsidRPr="00FD4F35" w:rsidTr="008845D1">
        <w:trPr>
          <w:trHeight w:val="264"/>
          <w:jc w:val="center"/>
        </w:trPr>
        <w:tc>
          <w:tcPr>
            <w:tcW w:w="3290" w:type="dxa"/>
          </w:tcPr>
          <w:p w:rsidR="009841CD" w:rsidRDefault="009841CD" w:rsidP="00CB4C24">
            <w:r>
              <w:t>Working at Expected Standard</w:t>
            </w:r>
          </w:p>
        </w:tc>
        <w:tc>
          <w:tcPr>
            <w:tcW w:w="1394" w:type="dxa"/>
            <w:tcBorders>
              <w:bottom w:val="single" w:sz="4" w:space="0" w:color="auto"/>
            </w:tcBorders>
            <w:shd w:val="clear" w:color="auto" w:fill="B8CCE4" w:themeFill="accent1" w:themeFillTint="66"/>
          </w:tcPr>
          <w:p w:rsidR="009841CD" w:rsidRPr="00FD4F35" w:rsidRDefault="00903596" w:rsidP="00CB4C24">
            <w:r>
              <w:t>83</w:t>
            </w:r>
            <w:r w:rsidR="00D81F29">
              <w:t xml:space="preserve"> </w:t>
            </w:r>
            <w:r w:rsidR="00765CE1">
              <w:t>(66)</w:t>
            </w:r>
          </w:p>
        </w:tc>
        <w:tc>
          <w:tcPr>
            <w:tcW w:w="1394" w:type="dxa"/>
            <w:tcBorders>
              <w:bottom w:val="single" w:sz="4" w:space="0" w:color="auto"/>
            </w:tcBorders>
            <w:shd w:val="clear" w:color="auto" w:fill="B8CCE4" w:themeFill="accent1" w:themeFillTint="66"/>
          </w:tcPr>
          <w:p w:rsidR="009841CD" w:rsidRPr="00FD4F35" w:rsidRDefault="00903596" w:rsidP="00CB4C24">
            <w:r>
              <w:t>83</w:t>
            </w:r>
            <w:r w:rsidR="00D81F29">
              <w:t xml:space="preserve"> </w:t>
            </w:r>
            <w:r w:rsidR="00765CE1">
              <w:t>(74)</w:t>
            </w:r>
          </w:p>
        </w:tc>
        <w:tc>
          <w:tcPr>
            <w:tcW w:w="1395" w:type="dxa"/>
            <w:tcBorders>
              <w:bottom w:val="single" w:sz="4" w:space="0" w:color="auto"/>
            </w:tcBorders>
            <w:shd w:val="clear" w:color="auto" w:fill="B8CCE4" w:themeFill="accent1" w:themeFillTint="66"/>
          </w:tcPr>
          <w:p w:rsidR="009841CD" w:rsidRPr="00FD4F35" w:rsidRDefault="00903596" w:rsidP="00CB4C24">
            <w:r>
              <w:t xml:space="preserve">83 </w:t>
            </w:r>
            <w:r w:rsidR="00765CE1">
              <w:t>(70)</w:t>
            </w:r>
          </w:p>
        </w:tc>
        <w:tc>
          <w:tcPr>
            <w:tcW w:w="1394" w:type="dxa"/>
            <w:tcBorders>
              <w:bottom w:val="single" w:sz="4" w:space="0" w:color="auto"/>
            </w:tcBorders>
            <w:shd w:val="clear" w:color="auto" w:fill="B8CCE4" w:themeFill="accent1" w:themeFillTint="66"/>
          </w:tcPr>
          <w:p w:rsidR="009841CD" w:rsidRPr="00FD4F35" w:rsidRDefault="00903596" w:rsidP="00CB4C24">
            <w:r>
              <w:t xml:space="preserve">83 </w:t>
            </w:r>
            <w:r w:rsidR="00D81F29">
              <w:t>(53</w:t>
            </w:r>
            <w:r w:rsidR="009841CD" w:rsidRPr="00FD4F35">
              <w:t>)</w:t>
            </w:r>
          </w:p>
        </w:tc>
        <w:tc>
          <w:tcPr>
            <w:tcW w:w="1395" w:type="dxa"/>
            <w:tcBorders>
              <w:bottom w:val="single" w:sz="4" w:space="0" w:color="auto"/>
            </w:tcBorders>
            <w:shd w:val="clear" w:color="auto" w:fill="B8CCE4" w:themeFill="accent1" w:themeFillTint="66"/>
          </w:tcPr>
          <w:p w:rsidR="009841CD" w:rsidRPr="00FD4F35" w:rsidRDefault="00D81F29" w:rsidP="00CB4C24">
            <w:r>
              <w:t>83</w:t>
            </w:r>
            <w:r w:rsidR="00765CE1">
              <w:t xml:space="preserve"> (72)</w:t>
            </w:r>
          </w:p>
        </w:tc>
      </w:tr>
      <w:tr w:rsidR="009841CD" w:rsidRPr="00FD4F35" w:rsidTr="008845D1">
        <w:trPr>
          <w:trHeight w:val="560"/>
          <w:jc w:val="center"/>
        </w:trPr>
        <w:tc>
          <w:tcPr>
            <w:tcW w:w="3290" w:type="dxa"/>
          </w:tcPr>
          <w:p w:rsidR="009841CD" w:rsidRDefault="009841CD" w:rsidP="00CB4C24">
            <w:r>
              <w:t>Working at Greater Depth at the Expected Standard</w:t>
            </w:r>
          </w:p>
        </w:tc>
        <w:tc>
          <w:tcPr>
            <w:tcW w:w="1394" w:type="dxa"/>
            <w:shd w:val="clear" w:color="auto" w:fill="B8CCE4" w:themeFill="accent1" w:themeFillTint="66"/>
          </w:tcPr>
          <w:p w:rsidR="009841CD" w:rsidRPr="00FD4F35" w:rsidRDefault="005500B9" w:rsidP="00CB4C24">
            <w:r>
              <w:t>25 (19)</w:t>
            </w:r>
          </w:p>
        </w:tc>
        <w:tc>
          <w:tcPr>
            <w:tcW w:w="1394" w:type="dxa"/>
            <w:shd w:val="clear" w:color="auto" w:fill="B8CCE4" w:themeFill="accent1" w:themeFillTint="66"/>
          </w:tcPr>
          <w:p w:rsidR="009841CD" w:rsidRPr="00FD4F35" w:rsidRDefault="00D81F29" w:rsidP="00CB4C24">
            <w:r>
              <w:t>42</w:t>
            </w:r>
            <w:r w:rsidR="005500B9">
              <w:t xml:space="preserve"> (15)</w:t>
            </w:r>
          </w:p>
        </w:tc>
        <w:tc>
          <w:tcPr>
            <w:tcW w:w="1395" w:type="dxa"/>
            <w:shd w:val="clear" w:color="auto" w:fill="B8CCE4" w:themeFill="accent1" w:themeFillTint="66"/>
          </w:tcPr>
          <w:p w:rsidR="009841CD" w:rsidRPr="00FD4F35" w:rsidRDefault="005500B9" w:rsidP="00CB4C24">
            <w:r>
              <w:t>25 (17)</w:t>
            </w:r>
          </w:p>
        </w:tc>
        <w:tc>
          <w:tcPr>
            <w:tcW w:w="1394" w:type="dxa"/>
            <w:shd w:val="clear" w:color="auto" w:fill="B8CCE4" w:themeFill="accent1" w:themeFillTint="66"/>
          </w:tcPr>
          <w:p w:rsidR="009841CD" w:rsidRPr="00FD4F35" w:rsidRDefault="005500B9" w:rsidP="00CB4C24">
            <w:r>
              <w:t>25</w:t>
            </w:r>
            <w:r w:rsidR="00765CE1">
              <w:t xml:space="preserve"> (5)</w:t>
            </w:r>
          </w:p>
        </w:tc>
        <w:tc>
          <w:tcPr>
            <w:tcW w:w="1395" w:type="dxa"/>
            <w:shd w:val="clear" w:color="auto" w:fill="B8CCE4" w:themeFill="accent1" w:themeFillTint="66"/>
          </w:tcPr>
          <w:p w:rsidR="009841CD" w:rsidRPr="00FD4F35" w:rsidRDefault="005500B9" w:rsidP="00CB4C24">
            <w:r>
              <w:t>50</w:t>
            </w:r>
            <w:r w:rsidR="00765CE1">
              <w:t xml:space="preserve"> (23)</w:t>
            </w:r>
          </w:p>
        </w:tc>
      </w:tr>
    </w:tbl>
    <w:p w:rsidR="00D01D59" w:rsidRDefault="00D01D59" w:rsidP="008845D1">
      <w:pPr>
        <w:pStyle w:val="Sideheading"/>
        <w:jc w:val="center"/>
        <w:rPr>
          <w:b w:val="0"/>
          <w:i/>
          <w:sz w:val="24"/>
          <w:szCs w:val="24"/>
        </w:rPr>
      </w:pPr>
      <w:r>
        <w:rPr>
          <w:b w:val="0"/>
          <w:i/>
          <w:sz w:val="24"/>
          <w:szCs w:val="24"/>
        </w:rPr>
        <w:lastRenderedPageBreak/>
        <w:t>In Reading, Mathematics and grammar, spelling and punctuation (GPS) pupil’s individual assessment outcomes were used to produce scaled scores in 2016.  The scaled score threshold for meeting the expected standard is 100.  Scores were then aggregated to produce a c</w:t>
      </w:r>
      <w:r w:rsidR="004F753B">
        <w:rPr>
          <w:b w:val="0"/>
          <w:i/>
          <w:sz w:val="24"/>
          <w:szCs w:val="24"/>
        </w:rPr>
        <w:t>ohort scaled score</w:t>
      </w:r>
      <w:r>
        <w:rPr>
          <w:b w:val="0"/>
          <w:i/>
          <w:sz w:val="24"/>
          <w:szCs w:val="24"/>
        </w:rPr>
        <w:t xml:space="preserve"> in order to judge school effectiveness</w:t>
      </w:r>
      <w:r w:rsidR="004F753B">
        <w:rPr>
          <w:b w:val="0"/>
          <w:i/>
          <w:sz w:val="24"/>
          <w:szCs w:val="24"/>
        </w:rPr>
        <w:t xml:space="preserve"> against the national picture.</w:t>
      </w:r>
    </w:p>
    <w:p w:rsidR="00D01D59" w:rsidRDefault="00D01D59" w:rsidP="008845D1">
      <w:pPr>
        <w:pStyle w:val="Sideheading"/>
        <w:jc w:val="center"/>
        <w:rPr>
          <w:b w:val="0"/>
          <w:i/>
          <w:sz w:val="24"/>
          <w:szCs w:val="24"/>
        </w:rPr>
      </w:pPr>
    </w:p>
    <w:tbl>
      <w:tblPr>
        <w:tblStyle w:val="TableGrid"/>
        <w:tblW w:w="0" w:type="auto"/>
        <w:jc w:val="center"/>
        <w:tblLook w:val="04A0" w:firstRow="1" w:lastRow="0" w:firstColumn="1" w:lastColumn="0" w:noHBand="0" w:noVBand="1"/>
      </w:tblPr>
      <w:tblGrid>
        <w:gridCol w:w="9242"/>
      </w:tblGrid>
      <w:tr w:rsidR="00D01D59" w:rsidRPr="00C85876" w:rsidTr="00277285">
        <w:trPr>
          <w:jc w:val="center"/>
        </w:trPr>
        <w:tc>
          <w:tcPr>
            <w:tcW w:w="9242" w:type="dxa"/>
            <w:shd w:val="clear" w:color="auto" w:fill="D9D9D9" w:themeFill="background1" w:themeFillShade="D9"/>
          </w:tcPr>
          <w:p w:rsidR="00D01D59" w:rsidRPr="00C85876" w:rsidRDefault="00D01D59" w:rsidP="00277285">
            <w:pPr>
              <w:rPr>
                <w:b/>
              </w:rPr>
            </w:pPr>
            <w:r>
              <w:rPr>
                <w:b/>
              </w:rPr>
              <w:t>End of Key Stage 2 SATS 2015/6 – Scaled Scores</w:t>
            </w:r>
          </w:p>
        </w:tc>
      </w:tr>
    </w:tbl>
    <w:p w:rsidR="00D01D59" w:rsidRDefault="00D01D59" w:rsidP="008845D1">
      <w:pPr>
        <w:pStyle w:val="Sideheading"/>
        <w:jc w:val="center"/>
        <w:rPr>
          <w:b w:val="0"/>
          <w:i/>
          <w:sz w:val="24"/>
          <w:szCs w:val="24"/>
        </w:rPr>
      </w:pPr>
    </w:p>
    <w:tbl>
      <w:tblPr>
        <w:tblStyle w:val="TableGrid"/>
        <w:tblW w:w="0" w:type="auto"/>
        <w:jc w:val="center"/>
        <w:tblLook w:val="04A0" w:firstRow="1" w:lastRow="0" w:firstColumn="1" w:lastColumn="0" w:noHBand="0" w:noVBand="1"/>
      </w:tblPr>
      <w:tblGrid>
        <w:gridCol w:w="7721"/>
        <w:gridCol w:w="1459"/>
      </w:tblGrid>
      <w:tr w:rsidR="00D01D59" w:rsidTr="00D01D59">
        <w:trPr>
          <w:jc w:val="center"/>
        </w:trPr>
        <w:tc>
          <w:tcPr>
            <w:tcW w:w="7721" w:type="dxa"/>
          </w:tcPr>
          <w:p w:rsidR="00D01D59" w:rsidRPr="00D01D59" w:rsidRDefault="00D01D59" w:rsidP="00277285">
            <w:pPr>
              <w:contextualSpacing/>
            </w:pPr>
            <w:r>
              <w:t>Mathematics</w:t>
            </w:r>
          </w:p>
        </w:tc>
        <w:tc>
          <w:tcPr>
            <w:tcW w:w="1459" w:type="dxa"/>
            <w:tcBorders>
              <w:bottom w:val="single" w:sz="4" w:space="0" w:color="auto"/>
            </w:tcBorders>
            <w:shd w:val="clear" w:color="auto" w:fill="D6E3BC" w:themeFill="accent3" w:themeFillTint="66"/>
          </w:tcPr>
          <w:p w:rsidR="00D01D59" w:rsidRDefault="00D01D59" w:rsidP="00277285">
            <w:pPr>
              <w:contextualSpacing/>
            </w:pPr>
            <w:r>
              <w:t>103.6 (103)</w:t>
            </w:r>
          </w:p>
        </w:tc>
      </w:tr>
      <w:tr w:rsidR="00D01D59" w:rsidTr="00D01D59">
        <w:trPr>
          <w:jc w:val="center"/>
        </w:trPr>
        <w:tc>
          <w:tcPr>
            <w:tcW w:w="7721" w:type="dxa"/>
          </w:tcPr>
          <w:p w:rsidR="00D01D59" w:rsidRPr="00D01D59" w:rsidRDefault="00D01D59" w:rsidP="00277285">
            <w:pPr>
              <w:contextualSpacing/>
            </w:pPr>
            <w:r>
              <w:t>Reading</w:t>
            </w:r>
          </w:p>
        </w:tc>
        <w:tc>
          <w:tcPr>
            <w:tcW w:w="1459" w:type="dxa"/>
            <w:shd w:val="clear" w:color="auto" w:fill="B8CCE4" w:themeFill="accent1" w:themeFillTint="66"/>
          </w:tcPr>
          <w:p w:rsidR="00D01D59" w:rsidRDefault="00D01D59" w:rsidP="00277285">
            <w:pPr>
              <w:contextualSpacing/>
            </w:pPr>
            <w:r>
              <w:t>106.0 (103)</w:t>
            </w:r>
          </w:p>
        </w:tc>
      </w:tr>
      <w:tr w:rsidR="00D01D59" w:rsidTr="00D01D59">
        <w:trPr>
          <w:jc w:val="center"/>
        </w:trPr>
        <w:tc>
          <w:tcPr>
            <w:tcW w:w="7721" w:type="dxa"/>
          </w:tcPr>
          <w:p w:rsidR="00D01D59" w:rsidRDefault="00D01D59" w:rsidP="00277285">
            <w:pPr>
              <w:contextualSpacing/>
            </w:pPr>
            <w:r>
              <w:t>GPS</w:t>
            </w:r>
          </w:p>
        </w:tc>
        <w:tc>
          <w:tcPr>
            <w:tcW w:w="1459" w:type="dxa"/>
            <w:shd w:val="clear" w:color="auto" w:fill="B8CCE4" w:themeFill="accent1" w:themeFillTint="66"/>
          </w:tcPr>
          <w:p w:rsidR="00D01D59" w:rsidRDefault="00D01D59" w:rsidP="00277285">
            <w:pPr>
              <w:contextualSpacing/>
            </w:pPr>
            <w:r>
              <w:t>106.4 (104)</w:t>
            </w:r>
          </w:p>
        </w:tc>
      </w:tr>
    </w:tbl>
    <w:p w:rsidR="00D01D59" w:rsidRDefault="00D01D59" w:rsidP="008845D1">
      <w:pPr>
        <w:pStyle w:val="Sideheading"/>
        <w:jc w:val="center"/>
        <w:rPr>
          <w:b w:val="0"/>
          <w:i/>
          <w:sz w:val="24"/>
          <w:szCs w:val="24"/>
        </w:rPr>
      </w:pPr>
    </w:p>
    <w:p w:rsidR="00D01D59" w:rsidRDefault="00D01D59" w:rsidP="008845D1">
      <w:pPr>
        <w:pStyle w:val="Sideheading"/>
        <w:jc w:val="center"/>
        <w:rPr>
          <w:b w:val="0"/>
          <w:i/>
          <w:sz w:val="24"/>
          <w:szCs w:val="24"/>
        </w:rPr>
      </w:pPr>
    </w:p>
    <w:p w:rsidR="008845D1" w:rsidRDefault="008845D1" w:rsidP="008845D1">
      <w:pPr>
        <w:pStyle w:val="Sideheading"/>
        <w:jc w:val="center"/>
        <w:rPr>
          <w:b w:val="0"/>
          <w:i/>
          <w:sz w:val="24"/>
          <w:szCs w:val="24"/>
        </w:rPr>
      </w:pPr>
      <w:r>
        <w:rPr>
          <w:b w:val="0"/>
          <w:i/>
          <w:sz w:val="24"/>
          <w:szCs w:val="24"/>
        </w:rPr>
        <w:t>Progress indicates how well learners have progressed from the beginning of Key Stage Two to the end of Key Stage Two and is a crucial and important indicator of how much value the school adds to their pupil’s learning during the period of their enrolment.  Average progress equates to zero; therefore, simplistically, a positive figure indicates that the cohort performed better than the national average and a negative figure indicates that they performed less well.</w:t>
      </w:r>
    </w:p>
    <w:p w:rsidR="008845D1" w:rsidRDefault="008845D1" w:rsidP="00767BAA">
      <w:pPr>
        <w:contextualSpacing/>
        <w:rPr>
          <w:b/>
        </w:rPr>
      </w:pPr>
    </w:p>
    <w:tbl>
      <w:tblPr>
        <w:tblStyle w:val="TableGrid"/>
        <w:tblW w:w="0" w:type="auto"/>
        <w:jc w:val="center"/>
        <w:tblLook w:val="04A0" w:firstRow="1" w:lastRow="0" w:firstColumn="1" w:lastColumn="0" w:noHBand="0" w:noVBand="1"/>
      </w:tblPr>
      <w:tblGrid>
        <w:gridCol w:w="9242"/>
      </w:tblGrid>
      <w:tr w:rsidR="00D51360" w:rsidRPr="00C85876" w:rsidTr="001254FA">
        <w:trPr>
          <w:jc w:val="center"/>
        </w:trPr>
        <w:tc>
          <w:tcPr>
            <w:tcW w:w="9242" w:type="dxa"/>
            <w:shd w:val="clear" w:color="auto" w:fill="D9D9D9" w:themeFill="background1" w:themeFillShade="D9"/>
          </w:tcPr>
          <w:p w:rsidR="00D51360" w:rsidRPr="00C85876" w:rsidRDefault="00D51360" w:rsidP="001254FA">
            <w:pPr>
              <w:rPr>
                <w:b/>
              </w:rPr>
            </w:pPr>
            <w:r>
              <w:rPr>
                <w:b/>
              </w:rPr>
              <w:t>End of Key Stage 2 SATS 2015/6 - Progress</w:t>
            </w:r>
          </w:p>
        </w:tc>
      </w:tr>
    </w:tbl>
    <w:p w:rsidR="00767BAA" w:rsidRPr="005910E3" w:rsidRDefault="00767BAA" w:rsidP="00767BAA">
      <w:pPr>
        <w:contextualSpacing/>
        <w:rPr>
          <w:b/>
        </w:rPr>
      </w:pPr>
    </w:p>
    <w:tbl>
      <w:tblPr>
        <w:tblStyle w:val="TableGrid"/>
        <w:tblW w:w="0" w:type="auto"/>
        <w:jc w:val="center"/>
        <w:tblLook w:val="04A0" w:firstRow="1" w:lastRow="0" w:firstColumn="1" w:lastColumn="0" w:noHBand="0" w:noVBand="1"/>
      </w:tblPr>
      <w:tblGrid>
        <w:gridCol w:w="5481"/>
        <w:gridCol w:w="1599"/>
        <w:gridCol w:w="1599"/>
        <w:gridCol w:w="1599"/>
      </w:tblGrid>
      <w:tr w:rsidR="00767BAA" w:rsidTr="00D51360">
        <w:trPr>
          <w:trHeight w:val="290"/>
          <w:jc w:val="center"/>
        </w:trPr>
        <w:tc>
          <w:tcPr>
            <w:tcW w:w="5481" w:type="dxa"/>
            <w:shd w:val="clear" w:color="auto" w:fill="auto"/>
          </w:tcPr>
          <w:p w:rsidR="00767BAA" w:rsidRDefault="00767BAA" w:rsidP="006D02C1"/>
        </w:tc>
        <w:tc>
          <w:tcPr>
            <w:tcW w:w="1599" w:type="dxa"/>
            <w:tcBorders>
              <w:bottom w:val="single" w:sz="4" w:space="0" w:color="auto"/>
            </w:tcBorders>
            <w:shd w:val="clear" w:color="auto" w:fill="auto"/>
          </w:tcPr>
          <w:p w:rsidR="00767BAA" w:rsidRPr="00FD4F35" w:rsidRDefault="00767BAA" w:rsidP="006D02C1">
            <w:pPr>
              <w:rPr>
                <w:b/>
              </w:rPr>
            </w:pPr>
            <w:r w:rsidRPr="00FD4F35">
              <w:rPr>
                <w:b/>
              </w:rPr>
              <w:t>Reading</w:t>
            </w:r>
          </w:p>
        </w:tc>
        <w:tc>
          <w:tcPr>
            <w:tcW w:w="1599" w:type="dxa"/>
            <w:tcBorders>
              <w:bottom w:val="single" w:sz="4" w:space="0" w:color="auto"/>
            </w:tcBorders>
            <w:shd w:val="clear" w:color="auto" w:fill="auto"/>
          </w:tcPr>
          <w:p w:rsidR="00767BAA" w:rsidRPr="00FD4F35" w:rsidRDefault="00767BAA" w:rsidP="006D02C1">
            <w:pPr>
              <w:rPr>
                <w:b/>
              </w:rPr>
            </w:pPr>
            <w:r w:rsidRPr="00FD4F35">
              <w:rPr>
                <w:b/>
              </w:rPr>
              <w:t>Writing</w:t>
            </w:r>
          </w:p>
        </w:tc>
        <w:tc>
          <w:tcPr>
            <w:tcW w:w="1599" w:type="dxa"/>
            <w:tcBorders>
              <w:bottom w:val="single" w:sz="4" w:space="0" w:color="auto"/>
            </w:tcBorders>
            <w:shd w:val="clear" w:color="auto" w:fill="auto"/>
          </w:tcPr>
          <w:p w:rsidR="00767BAA" w:rsidRPr="00FD4F35" w:rsidRDefault="00767BAA" w:rsidP="006D02C1">
            <w:pPr>
              <w:rPr>
                <w:b/>
              </w:rPr>
            </w:pPr>
            <w:r w:rsidRPr="00FD4F35">
              <w:rPr>
                <w:b/>
              </w:rPr>
              <w:t>Maths</w:t>
            </w:r>
          </w:p>
        </w:tc>
      </w:tr>
      <w:tr w:rsidR="008C2958" w:rsidTr="00D51360">
        <w:trPr>
          <w:trHeight w:val="307"/>
          <w:jc w:val="center"/>
        </w:trPr>
        <w:tc>
          <w:tcPr>
            <w:tcW w:w="5481" w:type="dxa"/>
          </w:tcPr>
          <w:p w:rsidR="008C2958" w:rsidRDefault="005500B9" w:rsidP="00CB4C24">
            <w:proofErr w:type="spellStart"/>
            <w:r>
              <w:t>DfE</w:t>
            </w:r>
            <w:proofErr w:type="spellEnd"/>
            <w:r>
              <w:t xml:space="preserve"> </w:t>
            </w:r>
            <w:r w:rsidR="008C2958">
              <w:t>Progress</w:t>
            </w:r>
            <w:r>
              <w:t xml:space="preserve"> Measure</w:t>
            </w:r>
          </w:p>
        </w:tc>
        <w:tc>
          <w:tcPr>
            <w:tcW w:w="1599" w:type="dxa"/>
            <w:shd w:val="clear" w:color="auto" w:fill="D6E3BC" w:themeFill="accent3" w:themeFillTint="66"/>
          </w:tcPr>
          <w:p w:rsidR="008C2958" w:rsidRDefault="005500B9" w:rsidP="00CB4C24">
            <w:r>
              <w:t>1.2</w:t>
            </w:r>
          </w:p>
        </w:tc>
        <w:tc>
          <w:tcPr>
            <w:tcW w:w="1599" w:type="dxa"/>
            <w:tcBorders>
              <w:bottom w:val="single" w:sz="4" w:space="0" w:color="auto"/>
            </w:tcBorders>
            <w:shd w:val="clear" w:color="auto" w:fill="D6E3BC" w:themeFill="accent3" w:themeFillTint="66"/>
          </w:tcPr>
          <w:p w:rsidR="008C2958" w:rsidRDefault="005500B9" w:rsidP="00CB4C24">
            <w:r>
              <w:t>2.0</w:t>
            </w:r>
          </w:p>
        </w:tc>
        <w:tc>
          <w:tcPr>
            <w:tcW w:w="1599" w:type="dxa"/>
            <w:tcBorders>
              <w:bottom w:val="single" w:sz="4" w:space="0" w:color="auto"/>
            </w:tcBorders>
            <w:shd w:val="clear" w:color="auto" w:fill="B8CCE4" w:themeFill="accent1" w:themeFillTint="66"/>
          </w:tcPr>
          <w:p w:rsidR="008C2958" w:rsidRDefault="005500B9" w:rsidP="00CB4C24">
            <w:r>
              <w:t>3.2</w:t>
            </w:r>
          </w:p>
        </w:tc>
      </w:tr>
    </w:tbl>
    <w:p w:rsidR="008845D1" w:rsidRDefault="00D51360" w:rsidP="00767BAA">
      <w:pPr>
        <w:contextualSpacing/>
        <w:rPr>
          <w:noProof/>
          <w:lang w:eastAsia="en-GB"/>
        </w:rPr>
      </w:pPr>
      <w:r>
        <w:rPr>
          <w:noProof/>
          <w:lang w:eastAsia="en-GB"/>
        </w:rPr>
        <mc:AlternateContent>
          <mc:Choice Requires="wps">
            <w:drawing>
              <wp:anchor distT="0" distB="0" distL="114300" distR="114300" simplePos="0" relativeHeight="251671552" behindDoc="0" locked="0" layoutInCell="1" allowOverlap="1" wp14:anchorId="41B081C4" wp14:editId="2B6F2687">
                <wp:simplePos x="0" y="0"/>
                <wp:positionH relativeFrom="column">
                  <wp:posOffset>151765</wp:posOffset>
                </wp:positionH>
                <wp:positionV relativeFrom="paragraph">
                  <wp:posOffset>290195</wp:posOffset>
                </wp:positionV>
                <wp:extent cx="6238875" cy="45085"/>
                <wp:effectExtent l="0" t="0" r="28575" b="12065"/>
                <wp:wrapNone/>
                <wp:docPr id="3" name="Rounded Rectangle 3"/>
                <wp:cNvGraphicFramePr/>
                <a:graphic xmlns:a="http://schemas.openxmlformats.org/drawingml/2006/main">
                  <a:graphicData uri="http://schemas.microsoft.com/office/word/2010/wordprocessingShape">
                    <wps:wsp>
                      <wps:cNvSpPr/>
                      <wps:spPr>
                        <a:xfrm>
                          <a:off x="0" y="0"/>
                          <a:ext cx="6238875" cy="450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1.95pt;margin-top:22.85pt;width:491.25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" fillcolor="#4f81bd [3204]" strokecolor="#243f60 [1604]" strokeweight="2pt"/>
            </w:pict>
          </mc:Fallback>
        </mc:AlternateContent>
      </w:r>
    </w:p>
    <w:p w:rsidR="00D51360" w:rsidRDefault="00D51360" w:rsidP="00D51360">
      <w:pPr>
        <w:pStyle w:val="Sideheading"/>
        <w:jc w:val="center"/>
        <w:rPr>
          <w:sz w:val="36"/>
          <w:szCs w:val="36"/>
          <w:u w:val="single"/>
        </w:rPr>
      </w:pPr>
    </w:p>
    <w:p w:rsidR="00D51360" w:rsidRDefault="00D51360" w:rsidP="00D51360">
      <w:pPr>
        <w:pStyle w:val="Sideheading"/>
        <w:jc w:val="center"/>
        <w:rPr>
          <w:b w:val="0"/>
          <w:sz w:val="36"/>
          <w:szCs w:val="36"/>
        </w:rPr>
      </w:pPr>
      <w:r>
        <w:rPr>
          <w:sz w:val="36"/>
          <w:szCs w:val="36"/>
          <w:u w:val="single"/>
        </w:rPr>
        <w:t xml:space="preserve">Kent and Dover Grammar Schools Test Summary </w:t>
      </w:r>
      <w:r w:rsidRPr="00561AA8">
        <w:rPr>
          <w:sz w:val="36"/>
          <w:szCs w:val="36"/>
          <w:u w:val="single"/>
        </w:rPr>
        <w:t>Results</w:t>
      </w:r>
    </w:p>
    <w:p w:rsidR="00D51360" w:rsidRPr="00506D83" w:rsidRDefault="00D51360" w:rsidP="00D51360">
      <w:pPr>
        <w:pStyle w:val="Sideheading"/>
        <w:jc w:val="center"/>
        <w:rPr>
          <w:b w:val="0"/>
          <w:sz w:val="20"/>
        </w:rPr>
      </w:pPr>
    </w:p>
    <w:p w:rsidR="00D51360" w:rsidRDefault="00D51360" w:rsidP="00D51360">
      <w:pPr>
        <w:pStyle w:val="Sideheading"/>
        <w:jc w:val="center"/>
        <w:rPr>
          <w:b w:val="0"/>
          <w:i/>
          <w:sz w:val="24"/>
          <w:szCs w:val="24"/>
        </w:rPr>
      </w:pPr>
      <w:r>
        <w:rPr>
          <w:b w:val="0"/>
          <w:i/>
          <w:sz w:val="24"/>
          <w:szCs w:val="24"/>
        </w:rPr>
        <w:t>Parents of children who wish them to be considered for grammar school enter their child for the Kent Test and/or the Dover Grammar Schools Test.  Children who reach the threshold for entry to the grammar schools are then able to apply for a place for Year 7 entry.</w:t>
      </w:r>
    </w:p>
    <w:p w:rsidR="00D51360" w:rsidRDefault="00D51360" w:rsidP="00D51360">
      <w:pPr>
        <w:pStyle w:val="Sideheading"/>
        <w:jc w:val="center"/>
        <w:rPr>
          <w:b w:val="0"/>
          <w:i/>
          <w:sz w:val="24"/>
          <w:szCs w:val="24"/>
        </w:rPr>
      </w:pPr>
    </w:p>
    <w:tbl>
      <w:tblPr>
        <w:tblStyle w:val="TableGrid"/>
        <w:tblW w:w="0" w:type="auto"/>
        <w:jc w:val="center"/>
        <w:tblLook w:val="04A0" w:firstRow="1" w:lastRow="0" w:firstColumn="1" w:lastColumn="0" w:noHBand="0" w:noVBand="1"/>
      </w:tblPr>
      <w:tblGrid>
        <w:gridCol w:w="9242"/>
      </w:tblGrid>
      <w:tr w:rsidR="00D51360" w:rsidRPr="00C85876" w:rsidTr="001254FA">
        <w:trPr>
          <w:jc w:val="center"/>
        </w:trPr>
        <w:tc>
          <w:tcPr>
            <w:tcW w:w="9242" w:type="dxa"/>
            <w:shd w:val="clear" w:color="auto" w:fill="D9D9D9" w:themeFill="background1" w:themeFillShade="D9"/>
          </w:tcPr>
          <w:p w:rsidR="00D51360" w:rsidRPr="00C85876" w:rsidRDefault="00D51360" w:rsidP="001254FA">
            <w:pPr>
              <w:rPr>
                <w:b/>
              </w:rPr>
            </w:pPr>
            <w:r>
              <w:rPr>
                <w:b/>
              </w:rPr>
              <w:t>Grammar School Entry</w:t>
            </w:r>
          </w:p>
        </w:tc>
      </w:tr>
    </w:tbl>
    <w:p w:rsidR="00D51360" w:rsidRDefault="00D51360" w:rsidP="00D51360">
      <w:pPr>
        <w:pStyle w:val="Sideheading"/>
        <w:jc w:val="center"/>
        <w:rPr>
          <w:b w:val="0"/>
          <w:i/>
          <w:sz w:val="24"/>
          <w:szCs w:val="24"/>
        </w:rPr>
      </w:pPr>
    </w:p>
    <w:tbl>
      <w:tblPr>
        <w:tblStyle w:val="TableGrid"/>
        <w:tblW w:w="0" w:type="auto"/>
        <w:jc w:val="center"/>
        <w:tblLook w:val="04A0" w:firstRow="1" w:lastRow="0" w:firstColumn="1" w:lastColumn="0" w:noHBand="0" w:noVBand="1"/>
      </w:tblPr>
      <w:tblGrid>
        <w:gridCol w:w="7905"/>
        <w:gridCol w:w="1275"/>
      </w:tblGrid>
      <w:tr w:rsidR="00D51360" w:rsidTr="00D51360">
        <w:trPr>
          <w:jc w:val="center"/>
        </w:trPr>
        <w:tc>
          <w:tcPr>
            <w:tcW w:w="7905" w:type="dxa"/>
          </w:tcPr>
          <w:p w:rsidR="00D51360" w:rsidRDefault="00D51360" w:rsidP="001254FA">
            <w:pPr>
              <w:contextualSpacing/>
            </w:pPr>
            <w:r>
              <w:t>Number and percentage of learners meeting the grammar school threshold/securing grammar school place 2015</w:t>
            </w:r>
          </w:p>
        </w:tc>
        <w:tc>
          <w:tcPr>
            <w:tcW w:w="1275" w:type="dxa"/>
            <w:shd w:val="clear" w:color="auto" w:fill="auto"/>
          </w:tcPr>
          <w:p w:rsidR="00D51360" w:rsidRDefault="00D51360" w:rsidP="001254FA">
            <w:pPr>
              <w:contextualSpacing/>
              <w:jc w:val="center"/>
            </w:pPr>
            <w:r>
              <w:t>10/15</w:t>
            </w:r>
          </w:p>
          <w:p w:rsidR="00D51360" w:rsidRDefault="00D51360" w:rsidP="001254FA">
            <w:pPr>
              <w:contextualSpacing/>
              <w:jc w:val="center"/>
            </w:pPr>
            <w:r>
              <w:t>67%</w:t>
            </w:r>
          </w:p>
        </w:tc>
      </w:tr>
      <w:tr w:rsidR="00D51360" w:rsidTr="00D51360">
        <w:trPr>
          <w:jc w:val="center"/>
        </w:trPr>
        <w:tc>
          <w:tcPr>
            <w:tcW w:w="7905" w:type="dxa"/>
          </w:tcPr>
          <w:p w:rsidR="00D51360" w:rsidRDefault="00D51360" w:rsidP="00D51360">
            <w:pPr>
              <w:contextualSpacing/>
            </w:pPr>
            <w:r>
              <w:t>Number and percentage of learners meeting the grammar school threshold/securing grammar school place 2016</w:t>
            </w:r>
          </w:p>
        </w:tc>
        <w:tc>
          <w:tcPr>
            <w:tcW w:w="1275" w:type="dxa"/>
            <w:shd w:val="clear" w:color="auto" w:fill="auto"/>
          </w:tcPr>
          <w:p w:rsidR="00D51360" w:rsidRDefault="00D51360" w:rsidP="001254FA">
            <w:pPr>
              <w:contextualSpacing/>
              <w:jc w:val="center"/>
            </w:pPr>
            <w:r>
              <w:t>7/12</w:t>
            </w:r>
          </w:p>
          <w:p w:rsidR="00D51360" w:rsidRDefault="00D51360" w:rsidP="001254FA">
            <w:pPr>
              <w:contextualSpacing/>
              <w:jc w:val="center"/>
            </w:pPr>
            <w:r>
              <w:t>58%</w:t>
            </w:r>
          </w:p>
        </w:tc>
      </w:tr>
    </w:tbl>
    <w:p w:rsidR="00D51360" w:rsidRDefault="00D51360" w:rsidP="00767BAA">
      <w:pPr>
        <w:contextualSpacing/>
        <w:rPr>
          <w:noProof/>
          <w:lang w:eastAsia="en-GB"/>
        </w:rPr>
      </w:pPr>
    </w:p>
    <w:p w:rsidR="00D51360" w:rsidRDefault="00D51360" w:rsidP="00767BAA">
      <w:pPr>
        <w:contextualSpacing/>
        <w:rPr>
          <w:noProof/>
          <w:lang w:eastAsia="en-GB"/>
        </w:rPr>
      </w:pPr>
    </w:p>
    <w:p w:rsidR="00D51360" w:rsidRDefault="00D51360" w:rsidP="00767BAA">
      <w:pPr>
        <w:contextualSpacing/>
      </w:pPr>
    </w:p>
    <w:sectPr w:rsidR="00D51360" w:rsidSect="002D76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F6446"/>
    <w:multiLevelType w:val="hybridMultilevel"/>
    <w:tmpl w:val="45E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AF"/>
    <w:rsid w:val="00000172"/>
    <w:rsid w:val="00024C06"/>
    <w:rsid w:val="00041B74"/>
    <w:rsid w:val="00065252"/>
    <w:rsid w:val="0007636F"/>
    <w:rsid w:val="000962A2"/>
    <w:rsid w:val="000D73AB"/>
    <w:rsid w:val="000F25A6"/>
    <w:rsid w:val="00125497"/>
    <w:rsid w:val="0012651C"/>
    <w:rsid w:val="00147874"/>
    <w:rsid w:val="00154773"/>
    <w:rsid w:val="001727FF"/>
    <w:rsid w:val="0019713A"/>
    <w:rsid w:val="001A6296"/>
    <w:rsid w:val="001B1EDE"/>
    <w:rsid w:val="001E7BEC"/>
    <w:rsid w:val="001F5272"/>
    <w:rsid w:val="00254887"/>
    <w:rsid w:val="002B3017"/>
    <w:rsid w:val="002B4659"/>
    <w:rsid w:val="002C3B3B"/>
    <w:rsid w:val="002D2BC7"/>
    <w:rsid w:val="002D58D9"/>
    <w:rsid w:val="002D7695"/>
    <w:rsid w:val="0031666B"/>
    <w:rsid w:val="00317D6A"/>
    <w:rsid w:val="0033346C"/>
    <w:rsid w:val="0033773B"/>
    <w:rsid w:val="00355C17"/>
    <w:rsid w:val="0039713E"/>
    <w:rsid w:val="003C3498"/>
    <w:rsid w:val="003F6532"/>
    <w:rsid w:val="00405040"/>
    <w:rsid w:val="00425E05"/>
    <w:rsid w:val="00442F5C"/>
    <w:rsid w:val="0044319A"/>
    <w:rsid w:val="00472DC2"/>
    <w:rsid w:val="00483662"/>
    <w:rsid w:val="004A4D6A"/>
    <w:rsid w:val="004B0781"/>
    <w:rsid w:val="004C2B7C"/>
    <w:rsid w:val="004F2AD5"/>
    <w:rsid w:val="004F753B"/>
    <w:rsid w:val="00513C8B"/>
    <w:rsid w:val="00520DCB"/>
    <w:rsid w:val="005220BF"/>
    <w:rsid w:val="00527D70"/>
    <w:rsid w:val="00547345"/>
    <w:rsid w:val="005500B9"/>
    <w:rsid w:val="00576557"/>
    <w:rsid w:val="005910E3"/>
    <w:rsid w:val="005B3492"/>
    <w:rsid w:val="005B7BDD"/>
    <w:rsid w:val="005C16CA"/>
    <w:rsid w:val="005C46DD"/>
    <w:rsid w:val="005E1637"/>
    <w:rsid w:val="00627249"/>
    <w:rsid w:val="006610A6"/>
    <w:rsid w:val="0066271A"/>
    <w:rsid w:val="006816FC"/>
    <w:rsid w:val="006B088F"/>
    <w:rsid w:val="006D02C1"/>
    <w:rsid w:val="006E0E94"/>
    <w:rsid w:val="006E1460"/>
    <w:rsid w:val="006E30F9"/>
    <w:rsid w:val="007043F8"/>
    <w:rsid w:val="0071544A"/>
    <w:rsid w:val="00724FAF"/>
    <w:rsid w:val="00725420"/>
    <w:rsid w:val="0074574D"/>
    <w:rsid w:val="00754AEE"/>
    <w:rsid w:val="00765CE1"/>
    <w:rsid w:val="00767BAA"/>
    <w:rsid w:val="00775791"/>
    <w:rsid w:val="00780326"/>
    <w:rsid w:val="007933EC"/>
    <w:rsid w:val="00794FAE"/>
    <w:rsid w:val="007D3481"/>
    <w:rsid w:val="00803303"/>
    <w:rsid w:val="00816427"/>
    <w:rsid w:val="008845D1"/>
    <w:rsid w:val="008934B0"/>
    <w:rsid w:val="008950DE"/>
    <w:rsid w:val="008C2958"/>
    <w:rsid w:val="008C5C4D"/>
    <w:rsid w:val="008D0840"/>
    <w:rsid w:val="008E1456"/>
    <w:rsid w:val="00903596"/>
    <w:rsid w:val="00903EF1"/>
    <w:rsid w:val="00922BE3"/>
    <w:rsid w:val="0093072A"/>
    <w:rsid w:val="00934E51"/>
    <w:rsid w:val="00943352"/>
    <w:rsid w:val="00951026"/>
    <w:rsid w:val="0095208D"/>
    <w:rsid w:val="00970C80"/>
    <w:rsid w:val="00976567"/>
    <w:rsid w:val="009841CD"/>
    <w:rsid w:val="009860A4"/>
    <w:rsid w:val="00992126"/>
    <w:rsid w:val="009A72B6"/>
    <w:rsid w:val="009E10E6"/>
    <w:rsid w:val="009F562E"/>
    <w:rsid w:val="00A175CB"/>
    <w:rsid w:val="00A20C14"/>
    <w:rsid w:val="00A262FE"/>
    <w:rsid w:val="00A26CC5"/>
    <w:rsid w:val="00A351FA"/>
    <w:rsid w:val="00A8005A"/>
    <w:rsid w:val="00AC645F"/>
    <w:rsid w:val="00AD3946"/>
    <w:rsid w:val="00AD45F9"/>
    <w:rsid w:val="00AD7A10"/>
    <w:rsid w:val="00AE1A95"/>
    <w:rsid w:val="00B06755"/>
    <w:rsid w:val="00B12676"/>
    <w:rsid w:val="00B158B8"/>
    <w:rsid w:val="00B544A1"/>
    <w:rsid w:val="00B6217F"/>
    <w:rsid w:val="00B767E7"/>
    <w:rsid w:val="00BB171E"/>
    <w:rsid w:val="00BC26A5"/>
    <w:rsid w:val="00BD11ED"/>
    <w:rsid w:val="00C16C89"/>
    <w:rsid w:val="00C34AD3"/>
    <w:rsid w:val="00C36E09"/>
    <w:rsid w:val="00C7365E"/>
    <w:rsid w:val="00C777C0"/>
    <w:rsid w:val="00C8041F"/>
    <w:rsid w:val="00C85876"/>
    <w:rsid w:val="00CA1BF7"/>
    <w:rsid w:val="00CC3475"/>
    <w:rsid w:val="00CD6713"/>
    <w:rsid w:val="00CF0C7B"/>
    <w:rsid w:val="00D01D59"/>
    <w:rsid w:val="00D0786F"/>
    <w:rsid w:val="00D25AC1"/>
    <w:rsid w:val="00D42CB5"/>
    <w:rsid w:val="00D51360"/>
    <w:rsid w:val="00D62B52"/>
    <w:rsid w:val="00D6782A"/>
    <w:rsid w:val="00D7389B"/>
    <w:rsid w:val="00D779F4"/>
    <w:rsid w:val="00D81F29"/>
    <w:rsid w:val="00D84F48"/>
    <w:rsid w:val="00D90388"/>
    <w:rsid w:val="00D952D0"/>
    <w:rsid w:val="00DC4B00"/>
    <w:rsid w:val="00DC7CB8"/>
    <w:rsid w:val="00DE4E15"/>
    <w:rsid w:val="00DE4EAD"/>
    <w:rsid w:val="00DE7DC9"/>
    <w:rsid w:val="00E10AE8"/>
    <w:rsid w:val="00E113E1"/>
    <w:rsid w:val="00E27F92"/>
    <w:rsid w:val="00E500FF"/>
    <w:rsid w:val="00E843B5"/>
    <w:rsid w:val="00E93C5C"/>
    <w:rsid w:val="00E96C01"/>
    <w:rsid w:val="00EA2604"/>
    <w:rsid w:val="00EA7D5C"/>
    <w:rsid w:val="00EB360D"/>
    <w:rsid w:val="00F01A4D"/>
    <w:rsid w:val="00F13A04"/>
    <w:rsid w:val="00F24AEA"/>
    <w:rsid w:val="00F258C9"/>
    <w:rsid w:val="00F27CB9"/>
    <w:rsid w:val="00F41F9D"/>
    <w:rsid w:val="00F43D12"/>
    <w:rsid w:val="00F54A93"/>
    <w:rsid w:val="00F55542"/>
    <w:rsid w:val="00F72123"/>
    <w:rsid w:val="00F82015"/>
    <w:rsid w:val="00F935CC"/>
    <w:rsid w:val="00FA1523"/>
    <w:rsid w:val="00FB57FD"/>
    <w:rsid w:val="00FB64E6"/>
    <w:rsid w:val="00FD4F35"/>
    <w:rsid w:val="00FF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29"/>
    <w:pPr>
      <w:ind w:left="720"/>
      <w:contextualSpacing/>
    </w:pPr>
  </w:style>
  <w:style w:type="paragraph" w:customStyle="1" w:styleId="Subtopic">
    <w:name w:val="Subtopic"/>
    <w:basedOn w:val="Normal"/>
    <w:rsid w:val="00CA1BF7"/>
    <w:pPr>
      <w:pBdr>
        <w:top w:val="single" w:sz="12" w:space="1" w:color="auto"/>
        <w:bottom w:val="single" w:sz="12" w:space="1" w:color="auto"/>
      </w:pBdr>
      <w:spacing w:after="0" w:line="240" w:lineRule="auto"/>
      <w:jc w:val="center"/>
    </w:pPr>
    <w:rPr>
      <w:rFonts w:ascii="Times New Roman" w:eastAsia="Times New Roman" w:hAnsi="Times New Roman" w:cs="Times New Roman"/>
      <w:b/>
      <w:caps/>
      <w:sz w:val="32"/>
      <w:szCs w:val="20"/>
    </w:rPr>
  </w:style>
  <w:style w:type="paragraph" w:customStyle="1" w:styleId="Sideheading">
    <w:name w:val="Sideheading"/>
    <w:basedOn w:val="Normal"/>
    <w:rsid w:val="00CA1BF7"/>
    <w:pPr>
      <w:spacing w:after="0" w:line="240" w:lineRule="auto"/>
    </w:pPr>
    <w:rPr>
      <w:rFonts w:ascii="Times New Roman" w:eastAsia="Times New Roman" w:hAnsi="Times New Roman" w:cs="Times New Roman"/>
      <w:b/>
      <w:smallCap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29"/>
    <w:pPr>
      <w:ind w:left="720"/>
      <w:contextualSpacing/>
    </w:pPr>
  </w:style>
  <w:style w:type="paragraph" w:customStyle="1" w:styleId="Subtopic">
    <w:name w:val="Subtopic"/>
    <w:basedOn w:val="Normal"/>
    <w:rsid w:val="00CA1BF7"/>
    <w:pPr>
      <w:pBdr>
        <w:top w:val="single" w:sz="12" w:space="1" w:color="auto"/>
        <w:bottom w:val="single" w:sz="12" w:space="1" w:color="auto"/>
      </w:pBdr>
      <w:spacing w:after="0" w:line="240" w:lineRule="auto"/>
      <w:jc w:val="center"/>
    </w:pPr>
    <w:rPr>
      <w:rFonts w:ascii="Times New Roman" w:eastAsia="Times New Roman" w:hAnsi="Times New Roman" w:cs="Times New Roman"/>
      <w:b/>
      <w:caps/>
      <w:sz w:val="32"/>
      <w:szCs w:val="20"/>
    </w:rPr>
  </w:style>
  <w:style w:type="paragraph" w:customStyle="1" w:styleId="Sideheading">
    <w:name w:val="Sideheading"/>
    <w:basedOn w:val="Normal"/>
    <w:rsid w:val="00CA1BF7"/>
    <w:pPr>
      <w:spacing w:after="0" w:line="240" w:lineRule="auto"/>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3C82-4478-4EB0-AA06-D06944FE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Lynn Paylor-Sutton</cp:lastModifiedBy>
  <cp:revision>2</cp:revision>
  <cp:lastPrinted>2016-09-15T11:28:00Z</cp:lastPrinted>
  <dcterms:created xsi:type="dcterms:W3CDTF">2016-09-15T11:29:00Z</dcterms:created>
  <dcterms:modified xsi:type="dcterms:W3CDTF">2016-09-15T11:29:00Z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1794817511</vt:i4>
  </property>
</Properties>
</file>